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7159E7" w:rsidRPr="007159E7" w:rsidTr="007159E7">
        <w:trPr>
          <w:trHeight w:val="570"/>
          <w:tblCellSpacing w:w="0" w:type="dxa"/>
        </w:trPr>
        <w:tc>
          <w:tcPr>
            <w:tcW w:w="0" w:type="auto"/>
            <w:vAlign w:val="center"/>
            <w:hideMark/>
          </w:tcPr>
          <w:p w:rsidR="007159E7" w:rsidRPr="007159E7" w:rsidRDefault="007159E7" w:rsidP="007159E7">
            <w:pPr>
              <w:spacing w:after="0" w:line="240" w:lineRule="auto"/>
              <w:rPr>
                <w:rFonts w:ascii="Times New Roman" w:eastAsia="Times New Roman" w:hAnsi="Times New Roman" w:cs="Times New Roman"/>
                <w:color w:val="626262"/>
                <w:sz w:val="27"/>
                <w:szCs w:val="27"/>
              </w:rPr>
            </w:pPr>
            <w:r w:rsidRPr="007159E7">
              <w:rPr>
                <w:rFonts w:ascii="Times New Roman" w:eastAsia="Times New Roman" w:hAnsi="Times New Roman" w:cs="Times New Roman"/>
                <w:color w:val="626262"/>
                <w:sz w:val="27"/>
                <w:szCs w:val="27"/>
              </w:rPr>
              <w:t>Международный стандарт финансовой отчетности (IAS) 10 «События после отчетной даты»</w:t>
            </w:r>
          </w:p>
        </w:tc>
      </w:tr>
      <w:tr w:rsidR="007159E7" w:rsidRPr="007159E7" w:rsidTr="007159E7">
        <w:trPr>
          <w:tblCellSpacing w:w="0" w:type="dxa"/>
        </w:trPr>
        <w:tc>
          <w:tcPr>
            <w:tcW w:w="0" w:type="auto"/>
            <w:vAlign w:val="center"/>
            <w:hideMark/>
          </w:tcPr>
          <w:p w:rsidR="007159E7" w:rsidRPr="007159E7" w:rsidRDefault="007159E7" w:rsidP="007159E7">
            <w:pPr>
              <w:spacing w:after="0"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Международный стандарт финансовой отчетности (IAS) 10 «События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Цель</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              Цель настоящего стандарта - определить:</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(a)           в каких случаях предприятие должно корректировать финансовую отчетность с учетом событий после отчетной даты; 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(b)           раскрытия, которые предприятие должно представить о дате утверждения финансовой отчетности к выпуску и о событиях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Кроме того, настоящий стандарт требует, чтобы предприятие не составляло свою финансовую отчетность на основе допущения о непрерывности деятельности, если события после отчетной даты указывают на неуместность допущения о непрерывности деятельности.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Сфера применения</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2              Настоящий стандарт следует применять при учете и раскрытии информации о событиях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Определения</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3              В настоящем стандарте используются следующие термины в указанных значениях:</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События после отчетной даты - это события, как благоприятные, так и неблагоприятные, которые происходят в период между отчетной датой и датой утверждения финансовой отчетности к выпуску. Различают два типа таких событий:</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(a)          </w:t>
            </w:r>
            <w:r w:rsidRPr="007159E7">
              <w:rPr>
                <w:rFonts w:ascii="Times New Roman" w:eastAsia="Times New Roman" w:hAnsi="Times New Roman" w:cs="Times New Roman"/>
                <w:color w:val="626262"/>
                <w:sz w:val="20"/>
              </w:rPr>
              <w:t> </w:t>
            </w:r>
            <w:r w:rsidRPr="007159E7">
              <w:rPr>
                <w:rFonts w:ascii="Times New Roman" w:eastAsia="Times New Roman" w:hAnsi="Times New Roman" w:cs="Times New Roman"/>
                <w:i/>
                <w:iCs/>
                <w:color w:val="626262"/>
                <w:sz w:val="20"/>
              </w:rPr>
              <w:t>события, подтверждающие условия, существовавшие на отчетную дату (</w:t>
            </w:r>
            <w:r w:rsidRPr="007159E7">
              <w:rPr>
                <w:rFonts w:ascii="Times New Roman" w:eastAsia="Times New Roman" w:hAnsi="Times New Roman" w:cs="Times New Roman"/>
                <w:color w:val="626262"/>
                <w:sz w:val="20"/>
                <w:szCs w:val="20"/>
              </w:rPr>
              <w:t>корректирующие события после отчетной даты); 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(b)          </w:t>
            </w:r>
            <w:r w:rsidRPr="007159E7">
              <w:rPr>
                <w:rFonts w:ascii="Times New Roman" w:eastAsia="Times New Roman" w:hAnsi="Times New Roman" w:cs="Times New Roman"/>
                <w:color w:val="626262"/>
                <w:sz w:val="20"/>
              </w:rPr>
              <w:t> </w:t>
            </w:r>
            <w:r w:rsidRPr="007159E7">
              <w:rPr>
                <w:rFonts w:ascii="Times New Roman" w:eastAsia="Times New Roman" w:hAnsi="Times New Roman" w:cs="Times New Roman"/>
                <w:i/>
                <w:iCs/>
                <w:color w:val="626262"/>
                <w:sz w:val="20"/>
              </w:rPr>
              <w:t>события, свидетельствующие о возникших после отчетной даты условиях (</w:t>
            </w:r>
            <w:r w:rsidRPr="007159E7">
              <w:rPr>
                <w:rFonts w:ascii="Times New Roman" w:eastAsia="Times New Roman" w:hAnsi="Times New Roman" w:cs="Times New Roman"/>
                <w:color w:val="626262"/>
                <w:sz w:val="20"/>
                <w:szCs w:val="20"/>
              </w:rPr>
              <w:t>некорректирующие события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4              Процесс утверждения финансовой отчетности к выпуску будет отличаться в зависимости от структуры руководства, нормативных требований, процедур составления и окончательного оформления финансовой отчетности.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5              В отдельных случаях предприятие обязано представлять финансовую отчетность на утверждение акционерам после ее выпуска. В таких случаях финансовая отчетность считается утвержденной к выпуску на дату ее выпуска, а не на дату ее утверждения акционерами.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7159E7" w:rsidRPr="007159E7" w:rsidTr="007159E7">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159E7" w:rsidRPr="007159E7" w:rsidRDefault="007159E7" w:rsidP="007159E7">
                  <w:pPr>
                    <w:spacing w:before="100" w:beforeAutospacing="1" w:after="100" w:afterAutospacing="1" w:line="240" w:lineRule="auto"/>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Пример</w:t>
                  </w:r>
                </w:p>
                <w:p w:rsidR="007159E7" w:rsidRPr="007159E7" w:rsidRDefault="007159E7" w:rsidP="007159E7">
                  <w:pPr>
                    <w:spacing w:before="100" w:beforeAutospacing="1" w:after="100" w:afterAutospacing="1" w:line="240" w:lineRule="auto"/>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28 февраля 20X2 г. руководство предприятия завершает составление предварительного варианта финансовой отчетности за год, закончившийся 31 декабря 20X1 г. 18 марта 20Х2 г. совет директоров рассматривает финансовую отчетность и утверждает ее выпуск. 19 марта 20Х2 г. предприятие объявляет данные о прибыли и другие отдельные финансовые показатели. 1 апреля 20Х2 г. финансовая отчетность представляется акционерам и другим пользователям. 15 мая 20Х2 г. акционеры утверждают финансовую отчетность на годовом собрании, и 17 мая 20Х2 г. утвержденная финансовая отчетность представляется регулирующему органу.</w:t>
                  </w:r>
                </w:p>
                <w:p w:rsidR="007159E7" w:rsidRPr="007159E7" w:rsidRDefault="007159E7" w:rsidP="007159E7">
                  <w:pPr>
                    <w:spacing w:before="100" w:beforeAutospacing="1" w:after="100" w:afterAutospacing="1" w:line="240" w:lineRule="auto"/>
                    <w:rPr>
                      <w:rFonts w:ascii="Times New Roman" w:eastAsia="Times New Roman" w:hAnsi="Times New Roman" w:cs="Times New Roman"/>
                      <w:color w:val="626262"/>
                      <w:sz w:val="20"/>
                      <w:szCs w:val="20"/>
                    </w:rPr>
                  </w:pPr>
                  <w:r w:rsidRPr="007159E7">
                    <w:rPr>
                      <w:rFonts w:ascii="Times New Roman" w:eastAsia="Times New Roman" w:hAnsi="Times New Roman" w:cs="Times New Roman"/>
                      <w:i/>
                      <w:iCs/>
                      <w:color w:val="626262"/>
                      <w:sz w:val="20"/>
                    </w:rPr>
                    <w:t xml:space="preserve">Финансовая отчетность утверждена к выпуску 18 марта 20Х2 г. (дата, когда совет директоров </w:t>
                  </w:r>
                  <w:r w:rsidRPr="007159E7">
                    <w:rPr>
                      <w:rFonts w:ascii="Times New Roman" w:eastAsia="Times New Roman" w:hAnsi="Times New Roman" w:cs="Times New Roman"/>
                      <w:i/>
                      <w:iCs/>
                      <w:color w:val="626262"/>
                      <w:sz w:val="20"/>
                    </w:rPr>
                    <w:lastRenderedPageBreak/>
                    <w:t>утвердил финансовую отчетность к выпуску).</w:t>
                  </w:r>
                </w:p>
              </w:tc>
              <w:tc>
                <w:tcPr>
                  <w:tcW w:w="6" w:type="dxa"/>
                  <w:tcBorders>
                    <w:top w:val="outset" w:sz="6" w:space="0" w:color="auto"/>
                    <w:left w:val="outset" w:sz="6" w:space="0" w:color="auto"/>
                    <w:bottom w:val="outset" w:sz="6" w:space="0" w:color="auto"/>
                    <w:right w:val="outset" w:sz="6" w:space="0" w:color="auto"/>
                  </w:tcBorders>
                  <w:vAlign w:val="center"/>
                  <w:hideMark/>
                </w:tcPr>
                <w:p w:rsidR="007159E7" w:rsidRPr="007159E7" w:rsidRDefault="007159E7" w:rsidP="007159E7">
                  <w:pPr>
                    <w:spacing w:after="0" w:line="240" w:lineRule="auto"/>
                    <w:jc w:val="both"/>
                    <w:rPr>
                      <w:rFonts w:ascii="Times New Roman" w:eastAsia="Times New Roman" w:hAnsi="Times New Roman" w:cs="Times New Roman"/>
                      <w:color w:val="626262"/>
                      <w:sz w:val="20"/>
                      <w:szCs w:val="20"/>
                    </w:rPr>
                  </w:pPr>
                </w:p>
              </w:tc>
            </w:tr>
          </w:tbl>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lastRenderedPageBreak/>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6              В отдельных случаях руководство предприятия обязано представлять финансовую отчетность на утверждение в наблюдательный совет, в состав которого входят только неисполнительные директора. В таких случаях финансовая отчетность считается утвержденной к выпуску, когда руководство утверждает ее к выпуску для наблюдательного совета.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40"/>
              <w:gridCol w:w="36"/>
            </w:tblGrid>
            <w:tr w:rsidR="007159E7" w:rsidRPr="007159E7" w:rsidTr="007159E7">
              <w:trPr>
                <w:trHeight w:val="330"/>
                <w:tblCellSpacing w:w="0" w:type="dxa"/>
              </w:trPr>
              <w:tc>
                <w:tcPr>
                  <w:tcW w:w="8640" w:type="dxa"/>
                  <w:tcBorders>
                    <w:top w:val="outset" w:sz="6" w:space="0" w:color="auto"/>
                    <w:left w:val="outset" w:sz="6" w:space="0" w:color="auto"/>
                    <w:bottom w:val="outset" w:sz="6" w:space="0" w:color="auto"/>
                    <w:right w:val="outset" w:sz="6" w:space="0" w:color="auto"/>
                  </w:tcBorders>
                  <w:hideMark/>
                </w:tcPr>
                <w:p w:rsidR="007159E7" w:rsidRPr="007159E7" w:rsidRDefault="007159E7" w:rsidP="007159E7">
                  <w:pPr>
                    <w:spacing w:before="100" w:beforeAutospacing="1" w:after="100" w:afterAutospacing="1" w:line="240" w:lineRule="auto"/>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Пример</w:t>
                  </w:r>
                </w:p>
                <w:p w:rsidR="007159E7" w:rsidRPr="007159E7" w:rsidRDefault="007159E7" w:rsidP="007159E7">
                  <w:pPr>
                    <w:spacing w:before="100" w:beforeAutospacing="1" w:after="100" w:afterAutospacing="1" w:line="240" w:lineRule="auto"/>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18 марта 20Х2 г. руководство предприятия принимает решение о представлении финансовой отчетности наблюдательному совету. В состав наблюдательного совета входят только неисполнительные директора, его членами также могут быть представители сотрудников компании и других внешних заинтересованных пользователей. 26 марта 20Х2 г. наблюдательный совет утверждает финансовую отчетность. 1 апреля 20Х2 г. финансовая отчетность представляется акционерам и другим пользователям. 15 мая 20Х2 г. акционеры утверждают финансовую отчетность на годовом собрании, и 17 мая 20Х2 г. утвержденная финансовая отчетность представляется регулирующему органу.</w:t>
                  </w:r>
                </w:p>
                <w:p w:rsidR="007159E7" w:rsidRPr="007159E7" w:rsidRDefault="007159E7" w:rsidP="007159E7">
                  <w:pPr>
                    <w:spacing w:before="100" w:beforeAutospacing="1" w:after="100" w:afterAutospacing="1" w:line="240" w:lineRule="auto"/>
                    <w:rPr>
                      <w:rFonts w:ascii="Times New Roman" w:eastAsia="Times New Roman" w:hAnsi="Times New Roman" w:cs="Times New Roman"/>
                      <w:color w:val="626262"/>
                      <w:sz w:val="20"/>
                      <w:szCs w:val="20"/>
                    </w:rPr>
                  </w:pPr>
                  <w:r w:rsidRPr="007159E7">
                    <w:rPr>
                      <w:rFonts w:ascii="Times New Roman" w:eastAsia="Times New Roman" w:hAnsi="Times New Roman" w:cs="Times New Roman"/>
                      <w:i/>
                      <w:iCs/>
                      <w:color w:val="626262"/>
                      <w:sz w:val="20"/>
                    </w:rPr>
                    <w:t>Финансовая отчетность утверждена к выпуску 18 марта 20Х2 г. (дата, когда руководство приняло решение о представлении финансовой отчетности наблюдательному совету).</w:t>
                  </w:r>
                </w:p>
              </w:tc>
              <w:tc>
                <w:tcPr>
                  <w:tcW w:w="6" w:type="dxa"/>
                  <w:tcBorders>
                    <w:top w:val="outset" w:sz="6" w:space="0" w:color="auto"/>
                    <w:left w:val="outset" w:sz="6" w:space="0" w:color="auto"/>
                    <w:bottom w:val="outset" w:sz="6" w:space="0" w:color="auto"/>
                    <w:right w:val="outset" w:sz="6" w:space="0" w:color="auto"/>
                  </w:tcBorders>
                  <w:vAlign w:val="center"/>
                  <w:hideMark/>
                </w:tcPr>
                <w:p w:rsidR="007159E7" w:rsidRPr="007159E7" w:rsidRDefault="007159E7" w:rsidP="007159E7">
                  <w:pPr>
                    <w:spacing w:after="0" w:line="240" w:lineRule="auto"/>
                    <w:jc w:val="both"/>
                    <w:rPr>
                      <w:rFonts w:ascii="Times New Roman" w:eastAsia="Times New Roman" w:hAnsi="Times New Roman" w:cs="Times New Roman"/>
                      <w:color w:val="626262"/>
                      <w:sz w:val="20"/>
                      <w:szCs w:val="20"/>
                    </w:rPr>
                  </w:pPr>
                </w:p>
              </w:tc>
            </w:tr>
          </w:tbl>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7              К событиям после отчетной даты относятся все события вплоть до даты утверждения финансовой отчетности к выпуску, даже если они произошли после опубликования данных о прибыли компании или других отдельных финансовых показателей.</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Признание и измерение</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Корректирующие события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8              Предприятие должно корректировать суммы, признанные в финансовой отчетности, для отражения корректирующих событий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9              Ниже приводятся примеры корректирующих событий после отчетной даты, которые предприятие обязано учитывать или путем корректировки сумм, признанных в финансовой отчетности, или путем признания статей, ранее не признанных в отчетности: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(a)           урегулирование судебного спора, состоявшееся после отчетной даты, в ходе которого подтвердился факт наличия у предприятия существующего обязательства на отчетную дату. Предприятие корректирует оценочный резерв, признанный ранее и относящийся к данному судебному спору в соответствии с МСФО (IAS) 37 «</w:t>
            </w:r>
            <w:r w:rsidRPr="007159E7">
              <w:rPr>
                <w:rFonts w:ascii="Times New Roman" w:eastAsia="Times New Roman" w:hAnsi="Times New Roman" w:cs="Times New Roman"/>
                <w:i/>
                <w:iCs/>
                <w:color w:val="626262"/>
                <w:sz w:val="20"/>
              </w:rPr>
              <w:t>Оценочные резервы, условные обязательства и условные активы</w:t>
            </w:r>
            <w:r w:rsidRPr="007159E7">
              <w:rPr>
                <w:rFonts w:ascii="Times New Roman" w:eastAsia="Times New Roman" w:hAnsi="Times New Roman" w:cs="Times New Roman"/>
                <w:color w:val="626262"/>
                <w:sz w:val="20"/>
                <w:szCs w:val="20"/>
              </w:rPr>
              <w:t>». Предприятию недостаточно только раскрыть условное обязательство, так как урегулирование предоставляет дополнительные доказательства, которые рассматриваются в соответствии с пунктом 16 МСФО (IAS) 37;</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(b)           получение информации после отчетной даты, свидетельствующей или об обесценении актива на отчетную дату, или о необходимости корректировки ранее признанного в отчетности убытка от обесценения данного актива. Например:</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(i)            банкротство покупателя, произошедшее после отчетной даты, обычно подтверждает существование на отчетную дату убытка по торговой дебиторской задолженности, и необходимость корректировки чистой балансовой стоимости торговой дебиторской задолженности; 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xml:space="preserve">(ii)           продажа запасов, произошедшая после отчетной даты, может служить источником информации об </w:t>
            </w:r>
            <w:r w:rsidRPr="007159E7">
              <w:rPr>
                <w:rFonts w:ascii="Times New Roman" w:eastAsia="Times New Roman" w:hAnsi="Times New Roman" w:cs="Times New Roman"/>
                <w:color w:val="626262"/>
                <w:sz w:val="20"/>
                <w:szCs w:val="20"/>
              </w:rPr>
              <w:lastRenderedPageBreak/>
              <w:t>их чистой стоимости возможной продажи на отчетную дату;</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(c)           определение после отчетной даты стоимости активов, приобретенных до отчетной даты, или поступлений от продажи активов, проданных до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(d)           определение после отчетной даты величины выплат по планам участия в прибыли или премирования, если на отчетную дату у предприятия было существующее юридическое обязательство или обусловленное сложившейся практикой обязательство произвести такие выплаты в связи с событиями, произошедшими до отчетной даты (см. МСФО (IAS) 19 «Вознаграждения работникам»);</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(e)           обнаружение фактов мошенничества или ошибок, которые подтверждают, что финансовая отчетность является неправильной.</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Некорректирующие события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10           Предприятие не должно корректировать суммы, признанные в финансовой отчетности, для отражения некорректирующих событий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11            Примером некорректирующего события после отчетной даты является снижение рыночной стоимости инвестиций в период между отчетной датой и датой утверждения финансовой отчетности к выпуску. Падение рыночной стоимости, как правило, отражает обстоятельства, возникшие в последующем периоде, и не связано с состоянием инвестиции на отчетную дату. Поэтому предприятие не корректирует сумму, по которой такие инвестиции были признаны в финансовой отчетности. Аналогично, предприятие не уточняет информацию о стоимости инвестиций, раскрытую в финансовой отчетности на отчетную дату, хотя ему, возможно, придется представить дополнительное раскрытие информации в соответствии с пунктом 21.</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Дивиденды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12           Если предприятие объявляет дивиденды держателям долевых инструментов (в соответствии с МСФО (IAS) 32 "Финансовые инструменты:</w:t>
            </w:r>
            <w:r w:rsidRPr="007159E7">
              <w:rPr>
                <w:rFonts w:ascii="Times New Roman" w:eastAsia="Times New Roman" w:hAnsi="Times New Roman" w:cs="Times New Roman"/>
                <w:i/>
                <w:iCs/>
                <w:color w:val="626262"/>
                <w:sz w:val="20"/>
              </w:rPr>
              <w:t> </w:t>
            </w:r>
            <w:r w:rsidRPr="007159E7">
              <w:rPr>
                <w:rFonts w:ascii="Times New Roman" w:eastAsia="Times New Roman" w:hAnsi="Times New Roman" w:cs="Times New Roman"/>
                <w:color w:val="626262"/>
                <w:sz w:val="20"/>
                <w:szCs w:val="20"/>
              </w:rPr>
              <w:t>представление информации") после отчетной даты, предприятие не должно признавать эти дивиденды в качестве обязательства на отчетную дату.</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13            Если дивиденды объявлены (т.е. дивиденды были утверждены должным образом и более не зависят от решения предприятия) после отчетной даты, но до утверждения финансовой отчетности к выпуску, то дивиденды не признаются как обязательство на отчетную дату, так как они не отвечают критериям существующего обязательства в МСФО (IAS) 37. Такие дивиденды раскрываются в примечаниях к финансовой отчетности в соответствии с МСФО (IAS) 1 «Представление финансовой отчетности».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Непрерывность деятельности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14           Предприятие не должно составлять финансовую отчетность на основе допущения о непрерывности деятельности, если после отчетной даты руководство решает или ликвидировать предприятие, или приостановить его деятельность, или что у него нет реальной альтернативы такому решению..</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15            Ухудшение результатов операционной деятельности и финансового положения после отчетной даты может указывать на необходимость рассмотрения уместности допущения о непрерывности деятельности. Если допущение о непрерывности деятельности более неуместно, то эффект от этого настолько значителен, что настоящий стандарт требует фундаментальным образом изменить методы бухгалтерского учета, а не корректировать суммы, признанные в соответствии с первоначальными методами бухгалтерского учета.</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16            МСФО (IAS) 1 устанавливает требования к раскрытию информации для следующих случаев:</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lastRenderedPageBreak/>
              <w:t>(a)           финансовая отчетность не составляется на основе допущения о непрерывности деятельности; или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(b)           руководству известно о существенных неопределенностях, связанных с событиями или условиями, которые могут вызвать значительные сомнения в дальнейшей непрерывной деятельности предприятия. События или условия, требующие раскрытия, могут возникнуть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Раскрытие информации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Дата утверждения к выпуску</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17           Предприятие должно раскрывать дату утверждения финансовой отчетности к выпуску и наименование органа, утвердившего финансовую отчетность к выпуску. В случае если владельцы предприятия или другие лица имеют право вносить поправки в финансовую отчетность после ее выпуска, предприятие обязано раскрыть данный факт.</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18            Пользователям важно знать дату утверждения финансовой отчетности к выпуску, так как финансовая отчетность не отражает события после этой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Уточнение раскрытий о существовавших на отчетную дату условиях</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19           Если после отчетной даты предприятие получает новую информацию об условиях, существовавших на отчетную дату, предприятию следует обновить раскрытия об этих условиях с учетом новой информации.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20            В отдельных случаях предприятию необходимо обновить раскрытия финансовой отчетности, чтобы отразить информацию, полученную после отчетной даты, даже если эта информация не оказывает влияния на суммы, признанные в финансовой отчетности. Например, необходимо обновление раскрытий, когда после отчетной даты предприятие получает доказательство существовавшего на отчетную дату условного обязательства. В дополнение к рассмотрению вопроса о том, следует ли признавать или изменять оценочный резерв согласно МСФО (IAS) 37 «Оценочные резервы, условные обязательства и условные активы», предприятие обновляет раскрытия об условном обязательстве в свете этого доказательства.</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Некорректирующие события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21           Если некорректирующие события после отчетной даты существенны, их нераскрытие может повлиять на экономические решения пользователей, принимаемые на основе финансовой отчетности. Соответственно предприятие должно раскрывать следующую информацию по каждой существенной категории некорректирующих событий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(a)           характер события; 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(b)           расчетную оценку его финансового влияния или заявление о невозможности такой оценки.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22            Ниже даны примеры некорректирующих событий после отчетной даты, по которым обычно требуется раскрытие:</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(a)           существенное объединение бизнеса после отчетной даты (в таких случаях МСФО (IFRS) 3 «Объединения бизнеса» требует определенных раскрытий) или выбытие крупной дочерней компании;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(b)           оглашение плана по прекращению деятельности;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(c)           крупные покупки активов, классификация активов в качестве предназначенных для продажи в соответствии с МСФО (IFRS) 5 «Долгосрочные активы и прекращенная деятельность», прочие выбытия активов или экспроприация большей части активов государством;</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lastRenderedPageBreak/>
              <w:t>(d)           уничтожение важных производственных мощностей компании в результате пожара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(e)           объявление о крупномасштабной реструктуризации или начало ее реализации (см. МСФО (IAS) 37);</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(f)            крупные операции с обыкновенными акциями и потенциальными обыкновенными акциями, произошедшие после отчетной даты (МСФО (IAS) 33 «Прибыль на акцию» требует, чтобы предприятие раскрывало информацию о таких операциях, за исключением случаев, когда такие операции связаны с капитализацией или выпуском акций на льготных условиях, дроблением акций или реверсированием дробления акций, и для которых требуется корректировка в соответствии с МСФО (IAS) 33);</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(g)           необычно большие изменения стоимости активов или обменных курсов валют, произошедшие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(h)           изменения налоговых ставок или налогового законодательства, введенные в действие или объявленные после отчетной даты, которые оказывают значительное влияние на текущие и отложенные налоговые активы и обязательства (см. МСФО (IAS) 12 «Налоги на прибыль»);</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(i)            принятие значительных обязательств или условных обязательств, например, при выдаче значительных гарантий; и</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(j)            начало крупного судебного разбирательства, связанного исключительно с событиями, произошедшими после отчетной даты.</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 </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b/>
                <w:bCs/>
                <w:color w:val="626262"/>
                <w:sz w:val="20"/>
              </w:rPr>
              <w:t>Дата вступления в силу</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23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Прекращение действия МСФО (IAS) 10 (в редакции 1999 г.)</w:t>
            </w:r>
          </w:p>
          <w:p w:rsidR="007159E7" w:rsidRPr="007159E7" w:rsidRDefault="007159E7" w:rsidP="007159E7">
            <w:pPr>
              <w:spacing w:before="100" w:beforeAutospacing="1" w:after="100" w:afterAutospacing="1" w:line="240" w:lineRule="auto"/>
              <w:jc w:val="both"/>
              <w:rPr>
                <w:rFonts w:ascii="Times New Roman" w:eastAsia="Times New Roman" w:hAnsi="Times New Roman" w:cs="Times New Roman"/>
                <w:color w:val="626262"/>
                <w:sz w:val="20"/>
                <w:szCs w:val="20"/>
              </w:rPr>
            </w:pPr>
            <w:r w:rsidRPr="007159E7">
              <w:rPr>
                <w:rFonts w:ascii="Times New Roman" w:eastAsia="Times New Roman" w:hAnsi="Times New Roman" w:cs="Times New Roman"/>
                <w:color w:val="626262"/>
                <w:sz w:val="20"/>
                <w:szCs w:val="20"/>
              </w:rPr>
              <w:t>24            Данный стандарт заменяет МСФО (IAS) 10 «События после отчетной даты» (в редакции 1999 г.).</w:t>
            </w:r>
          </w:p>
        </w:tc>
      </w:tr>
    </w:tbl>
    <w:p w:rsidR="006F6E52" w:rsidRPr="007159E7" w:rsidRDefault="006F6E52" w:rsidP="007159E7"/>
    <w:sectPr w:rsidR="006F6E52" w:rsidRPr="007159E7"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101A1B"/>
    <w:rsid w:val="001618FB"/>
    <w:rsid w:val="00162B21"/>
    <w:rsid w:val="00167FB4"/>
    <w:rsid w:val="00175766"/>
    <w:rsid w:val="001A6745"/>
    <w:rsid w:val="001B6F9E"/>
    <w:rsid w:val="002A1B80"/>
    <w:rsid w:val="002E64BF"/>
    <w:rsid w:val="00337CBE"/>
    <w:rsid w:val="003F7CF0"/>
    <w:rsid w:val="00414E79"/>
    <w:rsid w:val="004626DC"/>
    <w:rsid w:val="00490AB4"/>
    <w:rsid w:val="00537F30"/>
    <w:rsid w:val="005775F0"/>
    <w:rsid w:val="005A2751"/>
    <w:rsid w:val="005F6A19"/>
    <w:rsid w:val="006638C2"/>
    <w:rsid w:val="00676BE7"/>
    <w:rsid w:val="006B156C"/>
    <w:rsid w:val="006C2C0F"/>
    <w:rsid w:val="006F6E52"/>
    <w:rsid w:val="007159E7"/>
    <w:rsid w:val="00721B96"/>
    <w:rsid w:val="0074542A"/>
    <w:rsid w:val="00753C9F"/>
    <w:rsid w:val="00765F40"/>
    <w:rsid w:val="007F5E73"/>
    <w:rsid w:val="008F3FEC"/>
    <w:rsid w:val="00954074"/>
    <w:rsid w:val="00997004"/>
    <w:rsid w:val="00997D6E"/>
    <w:rsid w:val="009C2EE4"/>
    <w:rsid w:val="00A168AB"/>
    <w:rsid w:val="00A75612"/>
    <w:rsid w:val="00AB0337"/>
    <w:rsid w:val="00AE7E73"/>
    <w:rsid w:val="00B944CD"/>
    <w:rsid w:val="00BB1376"/>
    <w:rsid w:val="00BE288D"/>
    <w:rsid w:val="00C54A8E"/>
    <w:rsid w:val="00D120B3"/>
    <w:rsid w:val="00D15D53"/>
    <w:rsid w:val="00D4347A"/>
    <w:rsid w:val="00DA7B9C"/>
    <w:rsid w:val="00DB1249"/>
    <w:rsid w:val="00DE1370"/>
    <w:rsid w:val="00E75E7B"/>
    <w:rsid w:val="00E96763"/>
    <w:rsid w:val="00EC139C"/>
    <w:rsid w:val="00EF3489"/>
    <w:rsid w:val="00EF7C7F"/>
    <w:rsid w:val="00F451D9"/>
    <w:rsid w:val="00F46ED2"/>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32534981">
      <w:bodyDiv w:val="1"/>
      <w:marLeft w:val="0"/>
      <w:marRight w:val="0"/>
      <w:marTop w:val="0"/>
      <w:marBottom w:val="0"/>
      <w:divBdr>
        <w:top w:val="none" w:sz="0" w:space="0" w:color="auto"/>
        <w:left w:val="none" w:sz="0" w:space="0" w:color="auto"/>
        <w:bottom w:val="none" w:sz="0" w:space="0" w:color="auto"/>
        <w:right w:val="none" w:sz="0" w:space="0" w:color="auto"/>
      </w:divBdr>
      <w:divsChild>
        <w:div w:id="1232886557">
          <w:marLeft w:val="0"/>
          <w:marRight w:val="0"/>
          <w:marTop w:val="0"/>
          <w:marBottom w:val="0"/>
          <w:divBdr>
            <w:top w:val="none" w:sz="0" w:space="0" w:color="auto"/>
            <w:left w:val="none" w:sz="0" w:space="0" w:color="auto"/>
            <w:bottom w:val="none" w:sz="0" w:space="0" w:color="auto"/>
            <w:right w:val="none" w:sz="0" w:space="0" w:color="auto"/>
          </w:divBdr>
        </w:div>
        <w:div w:id="2078898393">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089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869087">
          <w:marLeft w:val="0"/>
          <w:marRight w:val="0"/>
          <w:marTop w:val="0"/>
          <w:marBottom w:val="0"/>
          <w:divBdr>
            <w:top w:val="none" w:sz="0" w:space="0" w:color="auto"/>
            <w:left w:val="none" w:sz="0" w:space="0" w:color="auto"/>
            <w:bottom w:val="none" w:sz="0" w:space="0" w:color="auto"/>
            <w:right w:val="none" w:sz="0" w:space="0" w:color="auto"/>
          </w:divBdr>
        </w:div>
        <w:div w:id="1651053478">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08275503">
      <w:bodyDiv w:val="1"/>
      <w:marLeft w:val="0"/>
      <w:marRight w:val="0"/>
      <w:marTop w:val="0"/>
      <w:marBottom w:val="0"/>
      <w:divBdr>
        <w:top w:val="none" w:sz="0" w:space="0" w:color="auto"/>
        <w:left w:val="none" w:sz="0" w:space="0" w:color="auto"/>
        <w:bottom w:val="none" w:sz="0" w:space="0" w:color="auto"/>
        <w:right w:val="none" w:sz="0" w:space="0" w:color="auto"/>
      </w:divBdr>
      <w:divsChild>
        <w:div w:id="133180928">
          <w:marLeft w:val="0"/>
          <w:marRight w:val="0"/>
          <w:marTop w:val="0"/>
          <w:marBottom w:val="0"/>
          <w:divBdr>
            <w:top w:val="none" w:sz="0" w:space="0" w:color="auto"/>
            <w:left w:val="none" w:sz="0" w:space="0" w:color="auto"/>
            <w:bottom w:val="none" w:sz="0" w:space="0" w:color="auto"/>
            <w:right w:val="none" w:sz="0" w:space="0" w:color="auto"/>
          </w:divBdr>
        </w:div>
        <w:div w:id="1198203085">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 w:id="1905682788">
      <w:bodyDiv w:val="1"/>
      <w:marLeft w:val="0"/>
      <w:marRight w:val="0"/>
      <w:marTop w:val="0"/>
      <w:marBottom w:val="0"/>
      <w:divBdr>
        <w:top w:val="none" w:sz="0" w:space="0" w:color="auto"/>
        <w:left w:val="none" w:sz="0" w:space="0" w:color="auto"/>
        <w:bottom w:val="none" w:sz="0" w:space="0" w:color="auto"/>
        <w:right w:val="none" w:sz="0" w:space="0" w:color="auto"/>
      </w:divBdr>
      <w:divsChild>
        <w:div w:id="499003642">
          <w:marLeft w:val="0"/>
          <w:marRight w:val="0"/>
          <w:marTop w:val="0"/>
          <w:marBottom w:val="0"/>
          <w:divBdr>
            <w:top w:val="none" w:sz="0" w:space="0" w:color="auto"/>
            <w:left w:val="none" w:sz="0" w:space="0" w:color="auto"/>
            <w:bottom w:val="none" w:sz="0" w:space="0" w:color="auto"/>
            <w:right w:val="none" w:sz="0" w:space="0" w:color="auto"/>
          </w:divBdr>
        </w:div>
        <w:div w:id="179617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2063</Words>
  <Characters>11762</Characters>
  <Application>Microsoft Office Word</Application>
  <DocSecurity>0</DocSecurity>
  <Lines>98</Lines>
  <Paragraphs>27</Paragraphs>
  <ScaleCrop>false</ScaleCrop>
  <Company>Reanimator Extreme Edition</Company>
  <LinksUpToDate>false</LinksUpToDate>
  <CharactersWithSpaces>13798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33</cp:revision>
  <dcterms:created xsi:type="dcterms:W3CDTF">2011-10-20T06:09:00Z</dcterms:created>
  <dcterms:modified xsi:type="dcterms:W3CDTF">2011-10-20T10:37:00Z</dcterms:modified>
</cp:coreProperties>
</file>