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753C9F" w:rsidRPr="00753C9F" w:rsidTr="00753C9F">
        <w:trPr>
          <w:trHeight w:val="570"/>
          <w:tblCellSpacing w:w="0" w:type="dxa"/>
        </w:trPr>
        <w:tc>
          <w:tcPr>
            <w:tcW w:w="0" w:type="auto"/>
            <w:vAlign w:val="center"/>
            <w:hideMark/>
          </w:tcPr>
          <w:p w:rsidR="00753C9F" w:rsidRPr="00753C9F" w:rsidRDefault="00753C9F" w:rsidP="00753C9F">
            <w:pPr>
              <w:spacing w:after="0" w:line="240" w:lineRule="auto"/>
              <w:rPr>
                <w:rFonts w:ascii="Times New Roman" w:eastAsia="Times New Roman" w:hAnsi="Times New Roman" w:cs="Times New Roman"/>
                <w:color w:val="626262"/>
                <w:sz w:val="27"/>
                <w:szCs w:val="27"/>
              </w:rPr>
            </w:pPr>
            <w:r w:rsidRPr="00753C9F">
              <w:rPr>
                <w:rFonts w:ascii="Times New Roman" w:eastAsia="Times New Roman" w:hAnsi="Times New Roman" w:cs="Times New Roman"/>
                <w:color w:val="626262"/>
                <w:sz w:val="27"/>
                <w:szCs w:val="27"/>
              </w:rPr>
              <w:t>Международный стандарт финансовой отчетности (IAS) 28 «Инвестиции в ассоциированные предприятия»</w:t>
            </w:r>
          </w:p>
        </w:tc>
      </w:tr>
      <w:tr w:rsidR="00753C9F" w:rsidRPr="00753C9F" w:rsidTr="00753C9F">
        <w:trPr>
          <w:tblCellSpacing w:w="0" w:type="dxa"/>
        </w:trPr>
        <w:tc>
          <w:tcPr>
            <w:tcW w:w="0" w:type="auto"/>
            <w:vAlign w:val="center"/>
            <w:hideMark/>
          </w:tcPr>
          <w:p w:rsidR="00753C9F" w:rsidRPr="00753C9F" w:rsidRDefault="00753C9F" w:rsidP="00753C9F">
            <w:pPr>
              <w:spacing w:after="0"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b/>
                <w:bCs/>
                <w:color w:val="626262"/>
                <w:sz w:val="20"/>
              </w:rPr>
              <w:t>Международный стандарт финансовой отчетности (IAS) 28 «Инвестиции в ассоциированные предприятия»</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b/>
                <w:bCs/>
                <w:color w:val="626262"/>
                <w:sz w:val="20"/>
              </w:rPr>
              <w:t>Сфера применения</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1              Настоящий Стандарт должен применяться при учете инвестиций в ассоциированные предприятия. Тем не менее, он не применяется в отношении инвестиций в ассоциированные предприятия, находящиеся на балансе:</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(a)           предприятий, специализирующихся на венчурных инвестициях;</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(b)           взаимных фондов и аналогичных предприятий, включая страховые фонды, стоимость паев которых связана с результатами инвестиций,</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которые при первоначальном признании классифицируются как оцениваемые по справедливой стоимости, изменения которой отражаются в составе прибыли или убытка за отчетный период, или как предназначенные для торговли, и учитываются в соответствии с МСФО (IAS) 39</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i/>
                <w:iCs/>
                <w:color w:val="626262"/>
                <w:sz w:val="20"/>
              </w:rPr>
              <w:t>«Финансовые инструменты: признание и измерение»</w:t>
            </w:r>
            <w:r w:rsidRPr="00753C9F">
              <w:rPr>
                <w:rFonts w:ascii="Times New Roman" w:eastAsia="Times New Roman" w:hAnsi="Times New Roman" w:cs="Times New Roman"/>
                <w:color w:val="626262"/>
                <w:sz w:val="20"/>
                <w:szCs w:val="20"/>
              </w:rPr>
              <w:t>. Такие инвестиции должны измеряться по справедливой стоимости в соответствии с МСФО (IAS) 39, а изменения в их справедливой стоимости должны признаваться в составе прибыли или убытка за тот отчетный период, в котором произошло соответствующее изменение.</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 </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b/>
                <w:bCs/>
                <w:color w:val="626262"/>
                <w:sz w:val="20"/>
              </w:rPr>
              <w:t>Определения</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2</w:t>
            </w:r>
            <w:proofErr w:type="gramStart"/>
            <w:r w:rsidRPr="00753C9F">
              <w:rPr>
                <w:rFonts w:ascii="Times New Roman" w:eastAsia="Times New Roman" w:hAnsi="Times New Roman" w:cs="Times New Roman"/>
                <w:color w:val="626262"/>
                <w:sz w:val="20"/>
                <w:szCs w:val="20"/>
              </w:rPr>
              <w:t>              В</w:t>
            </w:r>
            <w:proofErr w:type="gramEnd"/>
            <w:r w:rsidRPr="00753C9F">
              <w:rPr>
                <w:rFonts w:ascii="Times New Roman" w:eastAsia="Times New Roman" w:hAnsi="Times New Roman" w:cs="Times New Roman"/>
                <w:color w:val="626262"/>
                <w:sz w:val="20"/>
                <w:szCs w:val="20"/>
              </w:rPr>
              <w:t xml:space="preserve"> настоящем стандарте используются следующие термины в указанных значениях:</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i/>
                <w:iCs/>
                <w:color w:val="626262"/>
                <w:sz w:val="20"/>
              </w:rPr>
              <w:t>Ассоциированное предприятие</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color w:val="626262"/>
                <w:sz w:val="20"/>
                <w:szCs w:val="20"/>
              </w:rPr>
              <w:t>- предприятие, в том числе неакционерное предприятие, такое, как партнерство, на деятельность которого инвестор оказывает значительное влияние и которое не является ни дочерним предприятием, ни долей в совместной деятельности.</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i/>
                <w:iCs/>
                <w:color w:val="626262"/>
                <w:sz w:val="20"/>
              </w:rPr>
              <w:t>Консолидированная финансовая отчетность</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color w:val="626262"/>
                <w:sz w:val="20"/>
                <w:szCs w:val="20"/>
              </w:rPr>
              <w:t>- финансовая отчетность группы, представленная как финансовая отчетность единого хозяйствующего субъекта.</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i/>
                <w:iCs/>
                <w:color w:val="626262"/>
                <w:sz w:val="20"/>
              </w:rPr>
              <w:t>Контроль</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color w:val="626262"/>
                <w:sz w:val="20"/>
                <w:szCs w:val="20"/>
              </w:rPr>
              <w:t>- право определять финансовую и операционную политику предприятия с целью извлечения выгод от его деятельности.</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i/>
                <w:iCs/>
                <w:color w:val="626262"/>
                <w:sz w:val="20"/>
              </w:rPr>
              <w:t>Метод долевого участия</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color w:val="626262"/>
                <w:sz w:val="20"/>
                <w:szCs w:val="20"/>
              </w:rPr>
              <w:t>- метод учета, при котором инвестиции при первоначальном признании оцениваются по себестоимости, а затем их стоимость корректируется с учетом изменения доли инвестора в чистых активах объекта инвестиций после приобретения. Прибыль или убыток инвестора включает долю инвестора в прибыли или убытке объекта инвестиций.</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i/>
                <w:iCs/>
                <w:color w:val="626262"/>
                <w:sz w:val="20"/>
              </w:rPr>
              <w:t>Совместный контроль</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color w:val="626262"/>
                <w:sz w:val="20"/>
                <w:szCs w:val="20"/>
              </w:rPr>
              <w:t>- обусловленное договором распределение контроля над экономической деятельностью; совместный контроль существует только тогда, когда стратегические финансовые и операционные решения требуют единогласного одобрения всеми сторонами, совместно контролирующими данную экономическую деятельность (т. е. участниками совместного предпринимательства).</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i/>
                <w:iCs/>
                <w:color w:val="626262"/>
                <w:sz w:val="20"/>
              </w:rPr>
              <w:t>Отдельная финансовая отчетность</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color w:val="626262"/>
                <w:sz w:val="20"/>
                <w:szCs w:val="20"/>
              </w:rPr>
              <w:t>- составляемая материнским предприятием, инвестором ассоциированного предприятия или участником совместно контролируемого предприятия финансовая отчетность, в которой инвестиции учитываются на основе непосредственной доли в капитале, а не на основе представленных в отчетности финансовых результатов и чистых активов объектов инвестиций.</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i/>
                <w:iCs/>
                <w:color w:val="626262"/>
                <w:sz w:val="20"/>
              </w:rPr>
              <w:t>Значительное влияние</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color w:val="626262"/>
                <w:sz w:val="20"/>
                <w:szCs w:val="20"/>
              </w:rPr>
              <w:t>- право участвовать в принятии решений по вопросам финансовой и операционной политики объекта инвестиций, не являющееся контролем или совместным контролем над указанной политикой.</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i/>
                <w:iCs/>
                <w:color w:val="626262"/>
                <w:sz w:val="20"/>
              </w:rPr>
              <w:t>Дочернее предприятие</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color w:val="626262"/>
                <w:sz w:val="20"/>
                <w:szCs w:val="20"/>
              </w:rPr>
              <w:t xml:space="preserve">- предприятие, в том числе неакционерное предприятие, такое, как партнерство, </w:t>
            </w:r>
            <w:r w:rsidRPr="00753C9F">
              <w:rPr>
                <w:rFonts w:ascii="Times New Roman" w:eastAsia="Times New Roman" w:hAnsi="Times New Roman" w:cs="Times New Roman"/>
                <w:color w:val="626262"/>
                <w:sz w:val="20"/>
                <w:szCs w:val="20"/>
              </w:rPr>
              <w:lastRenderedPageBreak/>
              <w:t>которое контролируется другим предприятием, называемым материнским предприятием.</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3              Финансовая отчетность, составленная с использованием метода долевого участия, не является отдельной финансовой отчетностью, равно как ею не является и финансовая отчетность предприятия, не имеющего ни дочерних предприятий, ни ассоциированных предприятий, ни долей участия в совместном предпринимательстве.</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4              Отдельная финансовая отчетность - это отчетность, которая представляется в дополнение к консолидированной финансовой отчетности, финансовой отчетности с учетом инвестиций по методу долевого участия и финансовой отчетности с пропорциональной консолидацией долей участия в совместном предпринимательстве. Отдельная финансовая отчетность может являться или не являться приложением к указанной финансовой отчетности, сопровождать или не сопровождать указанную финансовую отчетность.</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5              Предприятия, освобожденные от консолидации в соответствии с пунктом 10 МСФО (IAS) 27</w:t>
            </w:r>
            <w:r w:rsidRPr="00753C9F">
              <w:rPr>
                <w:rFonts w:ascii="Times New Roman" w:eastAsia="Times New Roman" w:hAnsi="Times New Roman" w:cs="Times New Roman"/>
                <w:i/>
                <w:iCs/>
                <w:color w:val="626262"/>
                <w:sz w:val="20"/>
              </w:rPr>
              <w:t>«Консолидированная и отдельная финансовая отчетность»,</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color w:val="626262"/>
                <w:sz w:val="20"/>
                <w:szCs w:val="20"/>
              </w:rPr>
              <w:t>от применения пропорциональной консолидации в соответствии с пунктом 2 МСФО (IAS) 31</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i/>
                <w:iCs/>
                <w:color w:val="626262"/>
                <w:sz w:val="20"/>
              </w:rPr>
              <w:t>«Участие в совместном предпринимательстве</w:t>
            </w:r>
            <w:proofErr w:type="gramStart"/>
            <w:r w:rsidRPr="00753C9F">
              <w:rPr>
                <w:rFonts w:ascii="Times New Roman" w:eastAsia="Times New Roman" w:hAnsi="Times New Roman" w:cs="Times New Roman"/>
                <w:i/>
                <w:iCs/>
                <w:color w:val="626262"/>
                <w:sz w:val="20"/>
              </w:rPr>
              <w:t>»</w:t>
            </w:r>
            <w:r w:rsidRPr="00753C9F">
              <w:rPr>
                <w:rFonts w:ascii="Times New Roman" w:eastAsia="Times New Roman" w:hAnsi="Times New Roman" w:cs="Times New Roman"/>
                <w:color w:val="626262"/>
                <w:sz w:val="20"/>
                <w:szCs w:val="20"/>
              </w:rPr>
              <w:t>и</w:t>
            </w:r>
            <w:proofErr w:type="gramEnd"/>
            <w:r w:rsidRPr="00753C9F">
              <w:rPr>
                <w:rFonts w:ascii="Times New Roman" w:eastAsia="Times New Roman" w:hAnsi="Times New Roman" w:cs="Times New Roman"/>
                <w:color w:val="626262"/>
                <w:sz w:val="20"/>
                <w:szCs w:val="20"/>
              </w:rPr>
              <w:t>ли от применения метода долевого участия в соответствии с пунктом 13 (в) настоящего Стандарта, могут представлять отдельную финансовую отчетность в качестве своей единственной финансовой отчетности.</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 </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b/>
                <w:bCs/>
                <w:color w:val="626262"/>
                <w:sz w:val="20"/>
              </w:rPr>
              <w:t>Значительное влияние</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6</w:t>
            </w:r>
            <w:proofErr w:type="gramStart"/>
            <w:r w:rsidRPr="00753C9F">
              <w:rPr>
                <w:rFonts w:ascii="Times New Roman" w:eastAsia="Times New Roman" w:hAnsi="Times New Roman" w:cs="Times New Roman"/>
                <w:color w:val="626262"/>
                <w:sz w:val="20"/>
                <w:szCs w:val="20"/>
              </w:rPr>
              <w:t>              Е</w:t>
            </w:r>
            <w:proofErr w:type="gramEnd"/>
            <w:r w:rsidRPr="00753C9F">
              <w:rPr>
                <w:rFonts w:ascii="Times New Roman" w:eastAsia="Times New Roman" w:hAnsi="Times New Roman" w:cs="Times New Roman"/>
                <w:color w:val="626262"/>
                <w:sz w:val="20"/>
                <w:szCs w:val="20"/>
              </w:rPr>
              <w:t>сли инвестору прямо или косвенно (например, через дочерние предприятия) принадлежит 20 или более процентов прав голоса в отношении объекта инвестиций, то считается, что инвестор имеет значительное влияние, за исключением случаев, когда существуют убедительные доказательства обратного. И наоборот, если инвестору прямо или косвенно (например, через дочерние предприятия) принадлежит менее 20 процентов прав голоса в отношении объекта инвестиций, то считается, что инвестор не имеет значительного влияния, за исключением случаев, когда существуют убедительные доказательства обратного. Наличие крупного или контрольного пакета акций, принадлежащего другому инвестору, не обязательно исключает наличие у инвестора значительного влияния.</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7              Наличие у инвестора значительного влияния обычно подтверждается одним или несколькими из следующих фактов:</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(a)           представительство в совете директоров или аналогичном органе управления объектом инвестиций;</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(b)           участие в процессе выработки политики, в том числе участие в принятии решений о выплате дивидендов или ином распределении прибыли;</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(c)           наличие существенных операций между инвестором и объектом инвестиций;</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(d)           обмен руководящим персоналом;</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(e)           предоставление важной технической информации.</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proofErr w:type="gramStart"/>
            <w:r w:rsidRPr="00753C9F">
              <w:rPr>
                <w:rFonts w:ascii="Times New Roman" w:eastAsia="Times New Roman" w:hAnsi="Times New Roman" w:cs="Times New Roman"/>
                <w:color w:val="626262"/>
                <w:sz w:val="20"/>
                <w:szCs w:val="20"/>
              </w:rPr>
              <w:t>8              Предприятие может владеть варрантами на акции, опционами на покупку акций, долговыми или долевыми инструментами, которые могут быть конвертированы в обыкновенные акции, или другими аналогичными инструментами, которые в случае исполнения или конвертации могут обеспечить предприятию дополнительные права голоса или сократить права голоса другой стороны в отношении финансовой и операционной политики другого предприятия (то есть, потенциальные права голоса).</w:t>
            </w:r>
            <w:proofErr w:type="gramEnd"/>
            <w:r w:rsidRPr="00753C9F">
              <w:rPr>
                <w:rFonts w:ascii="Times New Roman" w:eastAsia="Times New Roman" w:hAnsi="Times New Roman" w:cs="Times New Roman"/>
                <w:color w:val="626262"/>
                <w:sz w:val="20"/>
                <w:szCs w:val="20"/>
              </w:rPr>
              <w:t xml:space="preserve"> Наличие и влияние потенциальных прав голоса, которые на текущий момент являются реализуемыми или конвертируемыми, включая потенциальные права голоса других предприятий, являются факторами, которые должны учитываться при оценке того, имеет ли предприятие значительное влияние. Потенциальные права голоса не являются реализуемыми или конвертируемыми на текущий момент, если они, например, не могут быть реализованы или конвертированы до определенной даты в будущем или до наступления определенного события.</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lastRenderedPageBreak/>
              <w:t>9</w:t>
            </w:r>
            <w:proofErr w:type="gramStart"/>
            <w:r w:rsidRPr="00753C9F">
              <w:rPr>
                <w:rFonts w:ascii="Times New Roman" w:eastAsia="Times New Roman" w:hAnsi="Times New Roman" w:cs="Times New Roman"/>
                <w:color w:val="626262"/>
                <w:sz w:val="20"/>
                <w:szCs w:val="20"/>
              </w:rPr>
              <w:t>              П</w:t>
            </w:r>
            <w:proofErr w:type="gramEnd"/>
            <w:r w:rsidRPr="00753C9F">
              <w:rPr>
                <w:rFonts w:ascii="Times New Roman" w:eastAsia="Times New Roman" w:hAnsi="Times New Roman" w:cs="Times New Roman"/>
                <w:color w:val="626262"/>
                <w:sz w:val="20"/>
                <w:szCs w:val="20"/>
              </w:rPr>
              <w:t>роизводя оценку того, приводят ли потенциальные права голоса к наличию значительного влияния, предприятие должно проанализировать все факты и обстоятельства (включая условия реализации потенциальных прав голоса и другие положения договора, рассматриваемые как по отдельности, так и в совокупности), которые влияют на потенциальные права, за исключением намерений руководства и финансовой возможности реализовать или конвертировать эти потенциальные права.</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10           Предприятие утрачивает значительное влияние на объект инвестиций при утрате права участвовать в принятии решений по вопросам финансовой и операционной политики этого объекта инвестиций. Утрата значительного влияния может сопровождаться или не сопровождаться изменением абсолютных или относительных долей участия. Например, это может произойти в случае, если ассоциированное предприятие становится объектом контроля со стороны государства, судебного, административного или регулирующего органа. Это также может произойти в результате договора.</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 </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b/>
                <w:bCs/>
                <w:color w:val="626262"/>
                <w:sz w:val="20"/>
              </w:rPr>
              <w:t>Метод долевого участия</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11</w:t>
            </w:r>
            <w:proofErr w:type="gramStart"/>
            <w:r w:rsidRPr="00753C9F">
              <w:rPr>
                <w:rFonts w:ascii="Times New Roman" w:eastAsia="Times New Roman" w:hAnsi="Times New Roman" w:cs="Times New Roman"/>
                <w:color w:val="626262"/>
                <w:sz w:val="20"/>
                <w:szCs w:val="20"/>
              </w:rPr>
              <w:t>           В</w:t>
            </w:r>
            <w:proofErr w:type="gramEnd"/>
            <w:r w:rsidRPr="00753C9F">
              <w:rPr>
                <w:rFonts w:ascii="Times New Roman" w:eastAsia="Times New Roman" w:hAnsi="Times New Roman" w:cs="Times New Roman"/>
                <w:color w:val="626262"/>
                <w:sz w:val="20"/>
                <w:szCs w:val="20"/>
              </w:rPr>
              <w:t xml:space="preserve"> соответствии с методом долевого участия инвестиции в ассоциированное предприятие первоначально признаются по себестоимости, а затем их балансовая стоимость увеличивается или уменьшается за счет признания доли инвестора в прибыли или убытке объекта инвестиций после даты приобретения. Доля инвестора в прибыли или убытке объекта инвестиций признается в составе прибыли или убытка инвестора. Средства, полученные от объекта инвестиций в результате распределения прибыли, уменьшают балансовую стоимость инвестиций. Балансовая стоимость инвестиций также корректируется с целью отражения изменений в пропорциональной доле участия инвестора в объекте инвестиций, возникающих в связи с изменениями в собственном капитале объекта инвестиций, которые не были признаны в составе прибыли или убытка объекта инвестиций. Такие изменения возникают, в частности, в связи с переоценкой основных средств и в связи с разницей от пересчета отчетности в другой валюте. Доля инвестора в этих изменениях признается непосредственно в составе его собственного капитала.</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12</w:t>
            </w:r>
            <w:proofErr w:type="gramStart"/>
            <w:r w:rsidRPr="00753C9F">
              <w:rPr>
                <w:rFonts w:ascii="Times New Roman" w:eastAsia="Times New Roman" w:hAnsi="Times New Roman" w:cs="Times New Roman"/>
                <w:color w:val="626262"/>
                <w:sz w:val="20"/>
                <w:szCs w:val="20"/>
              </w:rPr>
              <w:t>           П</w:t>
            </w:r>
            <w:proofErr w:type="gramEnd"/>
            <w:r w:rsidRPr="00753C9F">
              <w:rPr>
                <w:rFonts w:ascii="Times New Roman" w:eastAsia="Times New Roman" w:hAnsi="Times New Roman" w:cs="Times New Roman"/>
                <w:color w:val="626262"/>
                <w:sz w:val="20"/>
                <w:szCs w:val="20"/>
              </w:rPr>
              <w:t>ри наличии потенциальных прав голоса доля инвестора в прибыли или убытке объекта инвестиций или в изменениях в собственном капитале объекта инвестиций определяется на основе текущих долей участия и не отражает возможную реализацию или конвертацию потенциальных прав голоса.</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 </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b/>
                <w:bCs/>
                <w:color w:val="626262"/>
                <w:sz w:val="20"/>
              </w:rPr>
              <w:t>Применение метода долевого участия</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13           Инвестиции в ассоциированное предприятие должны учитываться по методу долевого участия, за исключением случаев, когда:</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(a)           инвестиции классифицируются как предназначенные для продажи в соответствии с МСФО (IFRS) 5</w:t>
            </w:r>
            <w:r w:rsidRPr="00753C9F">
              <w:rPr>
                <w:rFonts w:ascii="Times New Roman" w:eastAsia="Times New Roman" w:hAnsi="Times New Roman" w:cs="Times New Roman"/>
                <w:i/>
                <w:iCs/>
                <w:color w:val="626262"/>
                <w:sz w:val="20"/>
              </w:rPr>
              <w:t>«Долгосрочные активы, предназначенные для продажи, и прекращенная деятельность»</w:t>
            </w:r>
            <w:r w:rsidRPr="00753C9F">
              <w:rPr>
                <w:rFonts w:ascii="Times New Roman" w:eastAsia="Times New Roman" w:hAnsi="Times New Roman" w:cs="Times New Roman"/>
                <w:color w:val="626262"/>
                <w:sz w:val="20"/>
                <w:szCs w:val="20"/>
              </w:rPr>
              <w:t>;</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(b)           применяется исключение, предусмотренное пунктом 10 МСФО (IAS) 27, согласно которому материнское предприятие, которое также имеет инвестиции в ассоциированное предприятие, может не представлять консолидированную финансовую отчетность;</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(c)           верны все перечисленные ниже положения:</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proofErr w:type="gramStart"/>
            <w:r w:rsidRPr="00753C9F">
              <w:rPr>
                <w:rFonts w:ascii="Times New Roman" w:eastAsia="Times New Roman" w:hAnsi="Times New Roman" w:cs="Times New Roman"/>
                <w:color w:val="626262"/>
                <w:sz w:val="20"/>
                <w:szCs w:val="20"/>
              </w:rPr>
              <w:t>(i)            инвестор является дочерним предприятием, находящимся в полной собственности другого предприятия, или в частичной собственности другого предприятия, и при этом его прочие собственники, в том числе и те, которые в других случаях не имели бы права голоса, были проинформированы о том, что инвестор не применяет метод долевого участия, и не возражают против этого;</w:t>
            </w:r>
            <w:proofErr w:type="gramEnd"/>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(ii)           долговые или долевые инструменты инвестора не обращаются на открытом рынке (на отечественной или зарубежной фондовой бирже или на внебиржевом рынке, включая местные и региональные рынки);</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 xml:space="preserve">(iii)         инвестор не представлял свою финансовую отчетность и не находится в процессе представления своей финансовой отчетности в комиссию по ценным бумагам или иной регулирующий орган в целях </w:t>
            </w:r>
            <w:r w:rsidRPr="00753C9F">
              <w:rPr>
                <w:rFonts w:ascii="Times New Roman" w:eastAsia="Times New Roman" w:hAnsi="Times New Roman" w:cs="Times New Roman"/>
                <w:color w:val="626262"/>
                <w:sz w:val="20"/>
                <w:szCs w:val="20"/>
              </w:rPr>
              <w:lastRenderedPageBreak/>
              <w:t>размещения любого вида инструментов на открытом рынке;</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(iv)          конечное или промежуточное материнское предприятие инвестора составляет консолидированную финансовую отчетность, находящуюся в публичном доступе, в соответствии с требованиями Международных стандартов финансовой отчетности.</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14           Инвестиции, описанные в пункте 13 (a), подлежат учету в соответствии с МСФО (IFRS) 5.</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15</w:t>
            </w:r>
            <w:proofErr w:type="gramStart"/>
            <w:r w:rsidRPr="00753C9F">
              <w:rPr>
                <w:rFonts w:ascii="Times New Roman" w:eastAsia="Times New Roman" w:hAnsi="Times New Roman" w:cs="Times New Roman"/>
                <w:color w:val="626262"/>
                <w:sz w:val="20"/>
                <w:szCs w:val="20"/>
              </w:rPr>
              <w:t>           Е</w:t>
            </w:r>
            <w:proofErr w:type="gramEnd"/>
            <w:r w:rsidRPr="00753C9F">
              <w:rPr>
                <w:rFonts w:ascii="Times New Roman" w:eastAsia="Times New Roman" w:hAnsi="Times New Roman" w:cs="Times New Roman"/>
                <w:color w:val="626262"/>
                <w:sz w:val="20"/>
                <w:szCs w:val="20"/>
              </w:rPr>
              <w:t>сли инвестиции в ассоциированное предприятие, ранее классифицированные как предназначенные для продажи, перестают удовлетворять критериям для такой классификации, их следует учитывать по методу долевого участия, начиная с даты классификации, в качестве предназначенных для продажи. Финансовая отчетность за все периоды, начиная с момента классификации инвестиций в качестве предназначенных для продажи, должна быть соответствующим образом скорректирована.</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16           [Удален]</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17           Признание дохода в размере средств, полученных в результате распределения прибыли, не является адекватной основой для оценки дохода инвестора от инвестиций в ассоциированное предприятие, поскольку средства, полученные в результате распределения прибыли, могут не отражать результаты деятельности ассоциированного предприятия. Поскольку инвестор оказывает значительное влияние на ассоциированное предприятие, он заинтересован в результатах деятельности ассоциированного предприятия и, следовательно, в доходности своих инвестиций. Инвестор отражает свою заинтересованность путем включения в финансовую отчетность своей доли в прибылях или убытках такого ассоциированного предприятия. В итоге применение метода долевого участия обеспечивает отражение в финансовой отчетности более подробной информации о чистых активах и прибыли или убытке инвестора.</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18           Инвестор должен прекратить использование метода долевого участия с момента утраты значительного влияния на ассоциированное предприятие, и с этой даты вести учет своих инвестиций в соответствии с МСФО (IAS) 39 при условии, что ассоциированное предприятие не становится дочерним предприятием или совместной деятельностью в значении, определенном в МСФО (IAS) 31.</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19           Балансовая стоимость инвестиций на дату, когда предприятие перестает быть ассоциированным, должна рассматриваться как их стоимость при первоначальном признании в качестве финансового актива в соответствии с МСФО (IAS) 39.</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20</w:t>
            </w:r>
            <w:proofErr w:type="gramStart"/>
            <w:r w:rsidRPr="00753C9F">
              <w:rPr>
                <w:rFonts w:ascii="Times New Roman" w:eastAsia="Times New Roman" w:hAnsi="Times New Roman" w:cs="Times New Roman"/>
                <w:color w:val="626262"/>
                <w:sz w:val="20"/>
                <w:szCs w:val="20"/>
              </w:rPr>
              <w:t>           М</w:t>
            </w:r>
            <w:proofErr w:type="gramEnd"/>
            <w:r w:rsidRPr="00753C9F">
              <w:rPr>
                <w:rFonts w:ascii="Times New Roman" w:eastAsia="Times New Roman" w:hAnsi="Times New Roman" w:cs="Times New Roman"/>
                <w:color w:val="626262"/>
                <w:sz w:val="20"/>
                <w:szCs w:val="20"/>
              </w:rPr>
              <w:t>ногие процедуры, осуществляемые при применении метода долевого участия, аналогичны процедурам консолидации, описанным в МСФО (IAS) 27. Кроме того, концепции, лежащие в основе процедур, осуществляемых при учете приобретения дочернего предприятия, также используются при учете приобретения инвестиций в ассоциированное предприятие.</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 xml:space="preserve">21           Доля группы в ассоциированном предприятии представляет собой совокупную долю участия материнского предприятия и его дочерних предприятий в этом ассоциированном предприятии. Вложения других ассоциированных или совместных предприятий группы в этих целях не принимаются во внимание. </w:t>
            </w:r>
            <w:proofErr w:type="gramStart"/>
            <w:r w:rsidRPr="00753C9F">
              <w:rPr>
                <w:rFonts w:ascii="Times New Roman" w:eastAsia="Times New Roman" w:hAnsi="Times New Roman" w:cs="Times New Roman"/>
                <w:color w:val="626262"/>
                <w:sz w:val="20"/>
                <w:szCs w:val="20"/>
              </w:rPr>
              <w:t>Если ассоциированное предприятие имеет дочерние и ассоциированные предприятия или участвует в совместном предпринимательстве, прибыль или убыток и чистые активы, используемые при применении метода долевого участия, представляют собой прибыль или убыток и чистые активы, признанные в финансовой отчетности ассоциированного предприятия (включая долю ассоциированного предприятия в прибыли или убытке и чистых активах собственных ассоциированных и совместных предприятий), после корректировок, необходимых для соблюдения</w:t>
            </w:r>
            <w:proofErr w:type="gramEnd"/>
            <w:r w:rsidRPr="00753C9F">
              <w:rPr>
                <w:rFonts w:ascii="Times New Roman" w:eastAsia="Times New Roman" w:hAnsi="Times New Roman" w:cs="Times New Roman"/>
                <w:color w:val="626262"/>
                <w:sz w:val="20"/>
                <w:szCs w:val="20"/>
              </w:rPr>
              <w:t xml:space="preserve"> единой учетной политики (</w:t>
            </w:r>
            <w:proofErr w:type="gramStart"/>
            <w:r w:rsidRPr="00753C9F">
              <w:rPr>
                <w:rFonts w:ascii="Times New Roman" w:eastAsia="Times New Roman" w:hAnsi="Times New Roman" w:cs="Times New Roman"/>
                <w:color w:val="626262"/>
                <w:sz w:val="20"/>
                <w:szCs w:val="20"/>
              </w:rPr>
              <w:t>см</w:t>
            </w:r>
            <w:proofErr w:type="gramEnd"/>
            <w:r w:rsidRPr="00753C9F">
              <w:rPr>
                <w:rFonts w:ascii="Times New Roman" w:eastAsia="Times New Roman" w:hAnsi="Times New Roman" w:cs="Times New Roman"/>
                <w:color w:val="626262"/>
                <w:sz w:val="20"/>
                <w:szCs w:val="20"/>
              </w:rPr>
              <w:t>. пункты 26 и 27).</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22           Прибыли и убытки, возникающие в результате операций «снизу вверх» и «сверху вниз» между инвестором (включая его консолидированные дочерние предприятия) и ассоциированным предприятием, признаются в финансовой отчетности инвестора только в той мере, в которой они не относятся к доле участия инвестора в этом ассоциированном предприятии. Операции «снизу вверх», например, включают продажу активов инвестору ассоциированным предприятием. В качестве примера операции «сверху вниз» можно привести продажу активов ассоциированному предприятию инвестором. Доля инвестора в прибылях и убытках ассоциированного предприятия от этих операций подлежит исключению.</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 xml:space="preserve">23           Инвестиции в ассоциированное предприятие учитываются по методу долевого участия, начиная с даты, когда указанное предприятие становится ассоциированным. При приобретении инвестиций разница </w:t>
            </w:r>
            <w:r w:rsidRPr="00753C9F">
              <w:rPr>
                <w:rFonts w:ascii="Times New Roman" w:eastAsia="Times New Roman" w:hAnsi="Times New Roman" w:cs="Times New Roman"/>
                <w:color w:val="626262"/>
                <w:sz w:val="20"/>
                <w:szCs w:val="20"/>
              </w:rPr>
              <w:lastRenderedPageBreak/>
              <w:t>между себестоимостью инвестиций и долей инвестора в чистой справедливой стоимости идентифицируемых активов, обязательств и условных обязательств ассоциированного предприятия учитывается в соответствии с МСФО (IFRS) 3</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i/>
                <w:iCs/>
                <w:color w:val="626262"/>
                <w:sz w:val="20"/>
              </w:rPr>
              <w:t>«Объединения бизнеса»</w:t>
            </w:r>
            <w:r w:rsidRPr="00753C9F">
              <w:rPr>
                <w:rFonts w:ascii="Times New Roman" w:eastAsia="Times New Roman" w:hAnsi="Times New Roman" w:cs="Times New Roman"/>
                <w:color w:val="626262"/>
                <w:sz w:val="20"/>
                <w:szCs w:val="20"/>
              </w:rPr>
              <w:t>. Поэтому:</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proofErr w:type="gramStart"/>
            <w:r w:rsidRPr="00753C9F">
              <w:rPr>
                <w:rFonts w:ascii="Times New Roman" w:eastAsia="Times New Roman" w:hAnsi="Times New Roman" w:cs="Times New Roman"/>
                <w:color w:val="626262"/>
                <w:sz w:val="20"/>
                <w:szCs w:val="20"/>
              </w:rPr>
              <w:t>(a)           гудвил, относящийся к ассоциированному предприятию, включается в состав балансовой стоимости инвестиций.</w:t>
            </w:r>
            <w:proofErr w:type="gramEnd"/>
            <w:r w:rsidRPr="00753C9F">
              <w:rPr>
                <w:rFonts w:ascii="Times New Roman" w:eastAsia="Times New Roman" w:hAnsi="Times New Roman" w:cs="Times New Roman"/>
                <w:color w:val="626262"/>
                <w:sz w:val="20"/>
                <w:szCs w:val="20"/>
              </w:rPr>
              <w:t xml:space="preserve"> Тем не менее, амортизация этого гудвила не разрешена и, следовательно, не включается в расчет при определении доли инвестора в прибылях или убытках ассоциированного предприятия.</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proofErr w:type="gramStart"/>
            <w:r w:rsidRPr="00753C9F">
              <w:rPr>
                <w:rFonts w:ascii="Times New Roman" w:eastAsia="Times New Roman" w:hAnsi="Times New Roman" w:cs="Times New Roman"/>
                <w:color w:val="626262"/>
                <w:sz w:val="20"/>
                <w:szCs w:val="20"/>
              </w:rPr>
              <w:t>(b)           Сумма превышения доли инвестора в чистой справедливой стоимости идентифицируемых активов, обязательств и условных обязательств ассоциированного предприятия над стоимостью инвестиций исключается из состава балансовой стоимости инвестиций и вместо этого отражается в качестве дохода при определении доли инвестора в прибыли или убытке ассоциированного предприятия за тот отчетный период, в котором инвестиции были приобретены.</w:t>
            </w:r>
            <w:proofErr w:type="gramEnd"/>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Кроме этого, выполняются необходимые корректировки доли инвестора в прибылях или убытках ассоциированного предприятия после приобретения для отражения, например, амортизации активов на основе их справедливой стоимости на дату приобретения. Аналогичным образом, производятся соответствующие корректировки доли инвестора в прибылях или убытках ассоциированного предприятия после приобретения с целью учета убытков от обесценения, признанных ассоциированным предприятием, например, корректировки на обесценение гудвила или основных средств.</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24</w:t>
            </w:r>
            <w:proofErr w:type="gramStart"/>
            <w:r w:rsidRPr="00753C9F">
              <w:rPr>
                <w:rFonts w:ascii="Times New Roman" w:eastAsia="Times New Roman" w:hAnsi="Times New Roman" w:cs="Times New Roman"/>
                <w:color w:val="626262"/>
                <w:sz w:val="20"/>
                <w:szCs w:val="20"/>
              </w:rPr>
              <w:t>           П</w:t>
            </w:r>
            <w:proofErr w:type="gramEnd"/>
            <w:r w:rsidRPr="00753C9F">
              <w:rPr>
                <w:rFonts w:ascii="Times New Roman" w:eastAsia="Times New Roman" w:hAnsi="Times New Roman" w:cs="Times New Roman"/>
                <w:color w:val="626262"/>
                <w:sz w:val="20"/>
                <w:szCs w:val="20"/>
              </w:rPr>
              <w:t>ри применении метода долевого участия инвестор использует самую последнюю финансовую отчетность ассоциированного предприятия. Если отчетные даты инвестора и ассоциированного предприятия различаются, ассоциированное предприятие готовит для инвестора финансовую отчетность по состоянию на ту же отчетную дату, что и финансовая отчетность самого инвестора, за исключением случаев, когда это практически невозможно.</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25</w:t>
            </w:r>
            <w:proofErr w:type="gramStart"/>
            <w:r w:rsidRPr="00753C9F">
              <w:rPr>
                <w:rFonts w:ascii="Times New Roman" w:eastAsia="Times New Roman" w:hAnsi="Times New Roman" w:cs="Times New Roman"/>
                <w:color w:val="626262"/>
                <w:sz w:val="20"/>
                <w:szCs w:val="20"/>
              </w:rPr>
              <w:t>           Е</w:t>
            </w:r>
            <w:proofErr w:type="gramEnd"/>
            <w:r w:rsidRPr="00753C9F">
              <w:rPr>
                <w:rFonts w:ascii="Times New Roman" w:eastAsia="Times New Roman" w:hAnsi="Times New Roman" w:cs="Times New Roman"/>
                <w:color w:val="626262"/>
                <w:sz w:val="20"/>
                <w:szCs w:val="20"/>
              </w:rPr>
              <w:t>сли в соответствии с пунктом 24 финансовая отчетность ассоциированного предприятия, использованная при применении метода долевого участия, составлена по состоянию на иную отчетную дату, нежели финансовая отчетность инвестора, необходимо выполнить корректировки для отражения влияния значительных операций или событий, имевших место в период между этой датой и отчетной датой инвестора. В любом случае, разница между отчетной датой ассоциированного предприятия и отчетной датой инвестора не должна превышать трех месяцев. Продолжительность отчетных периодов и различие в отчетных датах должны быть одинаковыми из периода в период.</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26           Финансовая отчетность инвестора должна составляться на основе использования единой учетной политики в отношении сходных операций и событий, имевших место при аналогичных обстоятельствах.</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27</w:t>
            </w:r>
            <w:proofErr w:type="gramStart"/>
            <w:r w:rsidRPr="00753C9F">
              <w:rPr>
                <w:rFonts w:ascii="Times New Roman" w:eastAsia="Times New Roman" w:hAnsi="Times New Roman" w:cs="Times New Roman"/>
                <w:color w:val="626262"/>
                <w:sz w:val="20"/>
                <w:szCs w:val="20"/>
              </w:rPr>
              <w:t>           Е</w:t>
            </w:r>
            <w:proofErr w:type="gramEnd"/>
            <w:r w:rsidRPr="00753C9F">
              <w:rPr>
                <w:rFonts w:ascii="Times New Roman" w:eastAsia="Times New Roman" w:hAnsi="Times New Roman" w:cs="Times New Roman"/>
                <w:color w:val="626262"/>
                <w:sz w:val="20"/>
                <w:szCs w:val="20"/>
              </w:rPr>
              <w:t>сли ассоциированное предприятие применяет учетную политику, отличную от учетной политики инвестора в отношении сходных операций и событий, имевших место при аналогичных обстоятельствах, необходимо произвести корректировки с целью приведения учетной политики ассоциированного предприятия в соответствие с учетной политикой инвестора, если финансовая отчетность ассоциированного предприятия используется инвестором, применяющим метод долевого участия.</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28</w:t>
            </w:r>
            <w:proofErr w:type="gramStart"/>
            <w:r w:rsidRPr="00753C9F">
              <w:rPr>
                <w:rFonts w:ascii="Times New Roman" w:eastAsia="Times New Roman" w:hAnsi="Times New Roman" w:cs="Times New Roman"/>
                <w:color w:val="626262"/>
                <w:sz w:val="20"/>
                <w:szCs w:val="20"/>
              </w:rPr>
              <w:t>           Е</w:t>
            </w:r>
            <w:proofErr w:type="gramEnd"/>
            <w:r w:rsidRPr="00753C9F">
              <w:rPr>
                <w:rFonts w:ascii="Times New Roman" w:eastAsia="Times New Roman" w:hAnsi="Times New Roman" w:cs="Times New Roman"/>
                <w:color w:val="626262"/>
                <w:sz w:val="20"/>
                <w:szCs w:val="20"/>
              </w:rPr>
              <w:t>сли ассоциированное предприятие имеет в обращении кумулятивные привилегированные акции, которыми владеют стороны, отличные от инвестора, и которые классифицируются как капитал, инвестор рассчитывает свою долю в прибылях или убытках после корректировки на сумму дивидендов по таким акциям, вне зависимости от того, объявлены ли эти дивиденды к выплате.</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29</w:t>
            </w:r>
            <w:proofErr w:type="gramStart"/>
            <w:r w:rsidRPr="00753C9F">
              <w:rPr>
                <w:rFonts w:ascii="Times New Roman" w:eastAsia="Times New Roman" w:hAnsi="Times New Roman" w:cs="Times New Roman"/>
                <w:color w:val="626262"/>
                <w:sz w:val="20"/>
                <w:szCs w:val="20"/>
              </w:rPr>
              <w:t>           К</w:t>
            </w:r>
            <w:proofErr w:type="gramEnd"/>
            <w:r w:rsidRPr="00753C9F">
              <w:rPr>
                <w:rFonts w:ascii="Times New Roman" w:eastAsia="Times New Roman" w:hAnsi="Times New Roman" w:cs="Times New Roman"/>
                <w:color w:val="626262"/>
                <w:sz w:val="20"/>
                <w:szCs w:val="20"/>
              </w:rPr>
              <w:t xml:space="preserve">огда доля инвестора в убытках ассоциированного предприятия становится равна его доле участия в ассоциированном предприятии или превышает эту долю, инвестор прекращает признание своей доли в дальнейших убытках. Доля участия в ассоциированном предприятии соответствует балансовой стоимости инвестиций в ассоциированное предприятие, учитываемых по методу долевого участия, вместе с долгосрочными вложениями, которые, в сущности, составляют часть чистых инвестиций инвестора в ассоциированное предприятие. Например, статья, погашение которой в обозримом будущем не планируется и не является вероятным, по существу представляет собой дополнительные инвестиции предприятия в ассоциированное предприятие. Такие статьи могут включать привилегированные акции и долгосрочную дебиторскую задолженность или долгосрочные займы, но не включают торговую дебиторскую задолженность, торговую кредиторскую задолженность или долгосрочную дебиторскую задолженность, в отношении которой предоставлено адекватное обеспечение, такую, например, как обеспеченные займы. </w:t>
            </w:r>
            <w:r w:rsidRPr="00753C9F">
              <w:rPr>
                <w:rFonts w:ascii="Times New Roman" w:eastAsia="Times New Roman" w:hAnsi="Times New Roman" w:cs="Times New Roman"/>
                <w:color w:val="626262"/>
                <w:sz w:val="20"/>
                <w:szCs w:val="20"/>
              </w:rPr>
              <w:lastRenderedPageBreak/>
              <w:t>Убытки, признанные по методу долевого участия в размере, превышающем инвестиции инвестора в обыкновенные акции, относятся к другим компонентам доли участия инвестора в ассоциированном предприятии в обратном порядке старшинства (т.е., приоритетности при ликвидации).</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30</w:t>
            </w:r>
            <w:proofErr w:type="gramStart"/>
            <w:r w:rsidRPr="00753C9F">
              <w:rPr>
                <w:rFonts w:ascii="Times New Roman" w:eastAsia="Times New Roman" w:hAnsi="Times New Roman" w:cs="Times New Roman"/>
                <w:color w:val="626262"/>
                <w:sz w:val="20"/>
                <w:szCs w:val="20"/>
              </w:rPr>
              <w:t>           П</w:t>
            </w:r>
            <w:proofErr w:type="gramEnd"/>
            <w:r w:rsidRPr="00753C9F">
              <w:rPr>
                <w:rFonts w:ascii="Times New Roman" w:eastAsia="Times New Roman" w:hAnsi="Times New Roman" w:cs="Times New Roman"/>
                <w:color w:val="626262"/>
                <w:sz w:val="20"/>
                <w:szCs w:val="20"/>
              </w:rPr>
              <w:t>осле уменьшения доли участия инвестора до нуля дополнительные убытки и обязательства признаются только в той мере, в какой инвестор принял на себя юридические обязательства или обязательства, обусловленные сложившейся практикой (конклюдентные обязательства) или совершил платежи от имени ассоциированного предприятия. Если впоследствии ассоциированное предприятие отражает у себя в отчетности прибыль, инвестор возобновляет признание своей доли в этой прибыли только после того, как его доля в прибыли становится равной непризнанной доле в убытках.</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 </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b/>
                <w:bCs/>
                <w:color w:val="626262"/>
                <w:sz w:val="20"/>
              </w:rPr>
              <w:t>Убытки от обесценения</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31</w:t>
            </w:r>
            <w:proofErr w:type="gramStart"/>
            <w:r w:rsidRPr="00753C9F">
              <w:rPr>
                <w:rFonts w:ascii="Times New Roman" w:eastAsia="Times New Roman" w:hAnsi="Times New Roman" w:cs="Times New Roman"/>
                <w:color w:val="626262"/>
                <w:sz w:val="20"/>
                <w:szCs w:val="20"/>
              </w:rPr>
              <w:t>           П</w:t>
            </w:r>
            <w:proofErr w:type="gramEnd"/>
            <w:r w:rsidRPr="00753C9F">
              <w:rPr>
                <w:rFonts w:ascii="Times New Roman" w:eastAsia="Times New Roman" w:hAnsi="Times New Roman" w:cs="Times New Roman"/>
                <w:color w:val="626262"/>
                <w:sz w:val="20"/>
                <w:szCs w:val="20"/>
              </w:rPr>
              <w:t>осле применения метода долевого участия, включая признание убытков ассоциированного предприятия в соответствии с пунктом 29, инвестор применяет требования МСФО (IAS) 39 с целью определения необходимости признать какие-либо дополнительные убытки от обесценения в отношении чистых инвестиций инвестора в ассоциированное предприятие.</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32           Инвестор также применяет требования МСФО (IAS) 39 с целью определения необходимости признать дополнительные убытки от обесценения в отношении доли участия инвестора в ассоциированном предприятии, которая не является частью чистых инвестиций, а также с целью определения суммы таких убытков от обесценения.</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33</w:t>
            </w:r>
            <w:proofErr w:type="gramStart"/>
            <w:r w:rsidRPr="00753C9F">
              <w:rPr>
                <w:rFonts w:ascii="Times New Roman" w:eastAsia="Times New Roman" w:hAnsi="Times New Roman" w:cs="Times New Roman"/>
                <w:color w:val="626262"/>
                <w:sz w:val="20"/>
                <w:szCs w:val="20"/>
              </w:rPr>
              <w:t>           П</w:t>
            </w:r>
            <w:proofErr w:type="gramEnd"/>
            <w:r w:rsidRPr="00753C9F">
              <w:rPr>
                <w:rFonts w:ascii="Times New Roman" w:eastAsia="Times New Roman" w:hAnsi="Times New Roman" w:cs="Times New Roman"/>
                <w:color w:val="626262"/>
                <w:sz w:val="20"/>
                <w:szCs w:val="20"/>
              </w:rPr>
              <w:t>оскольку гудвил, входящий в состав балансовой стоимости инвестиций в ассоциированное предприятие, не признается отдельно, он не подлежит отдельному тестированию на обесценение с применением требований, установленных МСФО (IAS) 36</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i/>
                <w:iCs/>
                <w:color w:val="626262"/>
                <w:sz w:val="20"/>
              </w:rPr>
              <w:t>«Обесценение активов»</w:t>
            </w:r>
            <w:r w:rsidRPr="00753C9F">
              <w:rPr>
                <w:rFonts w:ascii="Times New Roman" w:eastAsia="Times New Roman" w:hAnsi="Times New Roman" w:cs="Times New Roman"/>
                <w:color w:val="626262"/>
                <w:sz w:val="20"/>
                <w:szCs w:val="20"/>
              </w:rPr>
              <w:t xml:space="preserve">. </w:t>
            </w:r>
            <w:proofErr w:type="gramStart"/>
            <w:r w:rsidRPr="00753C9F">
              <w:rPr>
                <w:rFonts w:ascii="Times New Roman" w:eastAsia="Times New Roman" w:hAnsi="Times New Roman" w:cs="Times New Roman"/>
                <w:color w:val="626262"/>
                <w:sz w:val="20"/>
                <w:szCs w:val="20"/>
              </w:rPr>
              <w:t>Вместо этого балансовая стоимость инвестиций, взятая в целом, тестируется на обесценение согласно МСФО (IAS) 36 путем сопоставления их возмещаемой стоимости (представляющей собой наибольшее из двух значений: стоимость от использования или справедливую стоимость за вычетом расходов на продажу) с их балансовой стоимостью в случаях, когда применение требований МСФО (IAS) 39 показывает, что инвестиции могли подвергнуться обесценению.</w:t>
            </w:r>
            <w:proofErr w:type="gramEnd"/>
            <w:r w:rsidRPr="00753C9F">
              <w:rPr>
                <w:rFonts w:ascii="Times New Roman" w:eastAsia="Times New Roman" w:hAnsi="Times New Roman" w:cs="Times New Roman"/>
                <w:color w:val="626262"/>
                <w:sz w:val="20"/>
                <w:szCs w:val="20"/>
              </w:rPr>
              <w:t xml:space="preserve"> При определении стоимости от использования инвестиций предприятие оценивает:</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(a)           свою долю в приведенной стоимости расчетных будущих потоков денежных средств, которые, как ожидается, будут генерированы ассоциированным предприятием, включая потоки денежных средств от операций ассоциированного предприятия и поступления от окончательного выбытия инвестиций; или</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(b)           приведенную стоимость расчетных будущих потоков денежных сре</w:t>
            </w:r>
            <w:proofErr w:type="gramStart"/>
            <w:r w:rsidRPr="00753C9F">
              <w:rPr>
                <w:rFonts w:ascii="Times New Roman" w:eastAsia="Times New Roman" w:hAnsi="Times New Roman" w:cs="Times New Roman"/>
                <w:color w:val="626262"/>
                <w:sz w:val="20"/>
                <w:szCs w:val="20"/>
              </w:rPr>
              <w:t>дств в в</w:t>
            </w:r>
            <w:proofErr w:type="gramEnd"/>
            <w:r w:rsidRPr="00753C9F">
              <w:rPr>
                <w:rFonts w:ascii="Times New Roman" w:eastAsia="Times New Roman" w:hAnsi="Times New Roman" w:cs="Times New Roman"/>
                <w:color w:val="626262"/>
                <w:sz w:val="20"/>
                <w:szCs w:val="20"/>
              </w:rPr>
              <w:t>иде дивидендов, ожидаемых к получению от инвестиций и от окончательного выбытия инвестиций.</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При правильных допущениях оба метода дают один и тот же результат.</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34           Возмещаемая стоимость инвестиций в ассоциированное предприятие оценивается по каждому ассоциированному предприятию в отдельности, за исключением случаев, когда ассоциированное предприятие не генерирует поступления денежных средств от своей деятельности, которые были бы в целом независимы от поступлений денежных средств от прочих активов предприятия.</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 </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b/>
                <w:bCs/>
                <w:color w:val="626262"/>
                <w:sz w:val="20"/>
              </w:rPr>
              <w:t>Отдельная финансовая отчетность</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35           Инвестиции в ассоциированное предприятие должны отражаться в отдельной финансовой отчетности инвестора в соответствии с пунктами 37-42 МСФО (IAS) 27.</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36           Настоящий стандарт не устанавливает, какие предприятия обязаны составлять отдельную финансовую отчетность предприятия, находящуюся в публичном доступе.</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lastRenderedPageBreak/>
              <w:t> </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b/>
                <w:bCs/>
                <w:color w:val="626262"/>
                <w:sz w:val="20"/>
              </w:rPr>
              <w:t>Раскрытие информации</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37           Раскрытию подлежит следующая информация:</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(a)           справедливая стоимость инвестиций в ассоциированные предприятия, для которых имеются объявленные котировальные цены;</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(b)           агрегированная финансовая информация ассоциированных предприятий, включая совокупные суммы активов, обязательств, выручки и прибыли или убытка;</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(c)           причины, по которым нарушается допущение об отсутств</w:t>
            </w:r>
            <w:proofErr w:type="gramStart"/>
            <w:r w:rsidRPr="00753C9F">
              <w:rPr>
                <w:rFonts w:ascii="Times New Roman" w:eastAsia="Times New Roman" w:hAnsi="Times New Roman" w:cs="Times New Roman"/>
                <w:color w:val="626262"/>
                <w:sz w:val="20"/>
                <w:szCs w:val="20"/>
              </w:rPr>
              <w:t>ии у и</w:t>
            </w:r>
            <w:proofErr w:type="gramEnd"/>
            <w:r w:rsidRPr="00753C9F">
              <w:rPr>
                <w:rFonts w:ascii="Times New Roman" w:eastAsia="Times New Roman" w:hAnsi="Times New Roman" w:cs="Times New Roman"/>
                <w:color w:val="626262"/>
                <w:sz w:val="20"/>
                <w:szCs w:val="20"/>
              </w:rPr>
              <w:t>нвестора значительного влияния в случаях, когда инвестору прямо или косвенно через дочерние предприятия, принадлежит менее 20 процентов прав голоса или потенциальных прав голоса в отношении объекта инвестиций, но он считает, что оказывает значительное влияние;</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(d)           причины, по которым нарушается допущение о налич</w:t>
            </w:r>
            <w:proofErr w:type="gramStart"/>
            <w:r w:rsidRPr="00753C9F">
              <w:rPr>
                <w:rFonts w:ascii="Times New Roman" w:eastAsia="Times New Roman" w:hAnsi="Times New Roman" w:cs="Times New Roman"/>
                <w:color w:val="626262"/>
                <w:sz w:val="20"/>
                <w:szCs w:val="20"/>
              </w:rPr>
              <w:t>ии у и</w:t>
            </w:r>
            <w:proofErr w:type="gramEnd"/>
            <w:r w:rsidRPr="00753C9F">
              <w:rPr>
                <w:rFonts w:ascii="Times New Roman" w:eastAsia="Times New Roman" w:hAnsi="Times New Roman" w:cs="Times New Roman"/>
                <w:color w:val="626262"/>
                <w:sz w:val="20"/>
                <w:szCs w:val="20"/>
              </w:rPr>
              <w:t>нвестора значительного влияния в случаях, когда инвестору прямо или косвенно через дочерние предприятия, принадлежит 20 или более процентов прав голоса или потенциальных прав голоса в отношении объекта инвестиций, но он считает, что не оказывает значительного влияния;</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(e)           отчетная дата финансовой отчетности ассоциированного предприятия, если такая финансовая отчетность используется при применении метода долевого участия и составлена на отчетную дату или за отчетный период, которые отличаются от отчетной даты или отчетного периода инвестора, с указанием причины использования другой отчетной даты или другого отчетного периода;</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(f)            характер и степень значительных ограничений (например, возникающих в результате кредитных соглашений или нормативных требований) способности ассоциированных предприятий переводить средства инвестору в форме денежных дивидендов или возврата займов или авансов;</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(g)           непризнанная доля в убытках ассоциированного предприятия, как за отчетный период, так и нарастающим итогом, если инвестор прекратил признание своей доли в убытках ассоциированного предприятия;</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(h)           тот факт, что ассоциированное предприятие не отражается в учете по методу долевого участия в соответствии с пунктом 13;</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(i)            агрегированная финансовая информация ассоциированных предприятий, либо по отдельности, либо по группам, для учета которых не применяется метод долевого участия, включая совокупные суммы активов, обязательств, выручки и прибыли или убытка.</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38           Инвестиции в ассоциированные предприятия, учитываемые по методу долевого участия, должны классифицироваться как долгосрочные (внеоборотные) активы. Доля инвестора в прибыли или убытке таких ассоциированных предприятий и балансовая стоимость таких инвестиций должна раскрываться отдельно. Доля инвестора в прекращенной деятельности таких ассоциированных предприятий также должна раскрываться отдельно.</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39           Доля инвестора в изменениях, признанных непосредственно в составе собственного капитала ассоциированного предприятия, должна признаваться инвестором непосредственно в составе своего капитала и раскрываться в отчете об изменениях в капитале в соответствии с требованиями МСФО (IAS) 1</w:t>
            </w:r>
            <w:r w:rsidRPr="00753C9F">
              <w:rPr>
                <w:rFonts w:ascii="Times New Roman" w:eastAsia="Times New Roman" w:hAnsi="Times New Roman" w:cs="Times New Roman"/>
                <w:i/>
                <w:iCs/>
                <w:color w:val="626262"/>
                <w:sz w:val="20"/>
              </w:rPr>
              <w:t>«Представление финансовой отчетности»</w:t>
            </w:r>
            <w:r w:rsidRPr="00753C9F">
              <w:rPr>
                <w:rFonts w:ascii="Times New Roman" w:eastAsia="Times New Roman" w:hAnsi="Times New Roman" w:cs="Times New Roman"/>
                <w:color w:val="626262"/>
                <w:sz w:val="20"/>
                <w:szCs w:val="20"/>
              </w:rPr>
              <w:t>.</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40           Согласно МСФО (IAS) 37</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i/>
                <w:iCs/>
                <w:color w:val="626262"/>
                <w:sz w:val="20"/>
              </w:rPr>
              <w:t>«Оценочные резервы, условные обязательства и условные активы»</w:t>
            </w:r>
            <w:proofErr w:type="gramStart"/>
            <w:r w:rsidRPr="00753C9F">
              <w:rPr>
                <w:rFonts w:ascii="Times New Roman" w:eastAsia="Times New Roman" w:hAnsi="Times New Roman" w:cs="Times New Roman"/>
                <w:i/>
                <w:iCs/>
                <w:color w:val="626262"/>
                <w:sz w:val="20"/>
              </w:rPr>
              <w:t>,</w:t>
            </w:r>
            <w:r w:rsidRPr="00753C9F">
              <w:rPr>
                <w:rFonts w:ascii="Times New Roman" w:eastAsia="Times New Roman" w:hAnsi="Times New Roman" w:cs="Times New Roman"/>
                <w:color w:val="626262"/>
                <w:sz w:val="20"/>
                <w:szCs w:val="20"/>
              </w:rPr>
              <w:t>и</w:t>
            </w:r>
            <w:proofErr w:type="gramEnd"/>
            <w:r w:rsidRPr="00753C9F">
              <w:rPr>
                <w:rFonts w:ascii="Times New Roman" w:eastAsia="Times New Roman" w:hAnsi="Times New Roman" w:cs="Times New Roman"/>
                <w:color w:val="626262"/>
                <w:sz w:val="20"/>
                <w:szCs w:val="20"/>
              </w:rPr>
              <w:t>нвестор должен раскрывать следующую информацию:</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(a)           долю инвестора в условных обязательствах ассоциированного предприятия, принятых совместно с другими инвесторами;</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lastRenderedPageBreak/>
              <w:t>(b)           условные обязательства, возникшие в связи с солидарной ответственностью инвестора в отношении всех обязательств ассоциированного предприятия или какой-либо их части.</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 </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b/>
                <w:bCs/>
                <w:color w:val="626262"/>
                <w:sz w:val="20"/>
              </w:rPr>
              <w:t>Дата вступления в силу</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41           Предприятие должно применять настоящий стандарт для годовых периодов, начинающихся 1 января 2005 г. или после этой даты. Если предприятие применяет настоящий стандарт для периода, начинающегося до 1 января 2005 г., оно должно раскрыть данный факт.</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 </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b/>
                <w:bCs/>
                <w:color w:val="626262"/>
                <w:sz w:val="20"/>
              </w:rPr>
              <w:t>Прекращение действия ДРУГИХ документов</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42           Настоящий Стандарт заменяет собой МСФО (IAS) 28</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i/>
                <w:iCs/>
                <w:color w:val="626262"/>
                <w:sz w:val="20"/>
              </w:rPr>
              <w:t>«Учет инвестиций в ассоциированные предприятия»</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color w:val="626262"/>
                <w:sz w:val="20"/>
                <w:szCs w:val="20"/>
              </w:rPr>
              <w:t>(в редакции 2000 г.).</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43           Настоящий Стандарт заменяет собой следующие разъяснения:</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(a)           Разъяснение ПКР (SIC) - 3</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i/>
                <w:iCs/>
                <w:color w:val="626262"/>
                <w:sz w:val="20"/>
              </w:rPr>
              <w:t>«Исключение нереализованной прибыли и убытка по операциям с ассоциированными предприятиями»</w:t>
            </w:r>
            <w:r w:rsidRPr="00753C9F">
              <w:rPr>
                <w:rFonts w:ascii="Times New Roman" w:eastAsia="Times New Roman" w:hAnsi="Times New Roman" w:cs="Times New Roman"/>
                <w:color w:val="626262"/>
                <w:sz w:val="20"/>
                <w:szCs w:val="20"/>
              </w:rPr>
              <w:t>;</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(b)           Разъяснение ПКР (SIC) - 20</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i/>
                <w:iCs/>
                <w:color w:val="626262"/>
                <w:sz w:val="20"/>
              </w:rPr>
              <w:t>«Метод долевого участия признание убытков»</w:t>
            </w:r>
            <w:r w:rsidRPr="00753C9F">
              <w:rPr>
                <w:rFonts w:ascii="Times New Roman" w:eastAsia="Times New Roman" w:hAnsi="Times New Roman" w:cs="Times New Roman"/>
                <w:color w:val="626262"/>
                <w:sz w:val="20"/>
                <w:szCs w:val="20"/>
              </w:rPr>
              <w:t>;</w:t>
            </w:r>
          </w:p>
          <w:p w:rsidR="00753C9F" w:rsidRPr="00753C9F" w:rsidRDefault="00753C9F" w:rsidP="00753C9F">
            <w:pPr>
              <w:spacing w:before="100" w:beforeAutospacing="1" w:after="100" w:afterAutospacing="1" w:line="240" w:lineRule="auto"/>
              <w:jc w:val="both"/>
              <w:rPr>
                <w:rFonts w:ascii="Times New Roman" w:eastAsia="Times New Roman" w:hAnsi="Times New Roman" w:cs="Times New Roman"/>
                <w:color w:val="626262"/>
                <w:sz w:val="20"/>
                <w:szCs w:val="20"/>
              </w:rPr>
            </w:pPr>
            <w:r w:rsidRPr="00753C9F">
              <w:rPr>
                <w:rFonts w:ascii="Times New Roman" w:eastAsia="Times New Roman" w:hAnsi="Times New Roman" w:cs="Times New Roman"/>
                <w:color w:val="626262"/>
                <w:sz w:val="20"/>
                <w:szCs w:val="20"/>
              </w:rPr>
              <w:t>(c)           Разъяснение ПКР (SIC) - 33</w:t>
            </w:r>
            <w:r w:rsidRPr="00753C9F">
              <w:rPr>
                <w:rFonts w:ascii="Times New Roman" w:eastAsia="Times New Roman" w:hAnsi="Times New Roman" w:cs="Times New Roman"/>
                <w:color w:val="626262"/>
                <w:sz w:val="20"/>
              </w:rPr>
              <w:t> </w:t>
            </w:r>
            <w:r w:rsidRPr="00753C9F">
              <w:rPr>
                <w:rFonts w:ascii="Times New Roman" w:eastAsia="Times New Roman" w:hAnsi="Times New Roman" w:cs="Times New Roman"/>
                <w:i/>
                <w:iCs/>
                <w:color w:val="626262"/>
                <w:sz w:val="20"/>
              </w:rPr>
              <w:t>«Консолидация и метод долевого участия потенциальные права голоса и распределение долей владения»</w:t>
            </w:r>
            <w:r w:rsidRPr="00753C9F">
              <w:rPr>
                <w:rFonts w:ascii="Times New Roman" w:eastAsia="Times New Roman" w:hAnsi="Times New Roman" w:cs="Times New Roman"/>
                <w:color w:val="626262"/>
                <w:sz w:val="20"/>
                <w:szCs w:val="20"/>
              </w:rPr>
              <w:t>.</w:t>
            </w:r>
          </w:p>
        </w:tc>
      </w:tr>
    </w:tbl>
    <w:p w:rsidR="006F6E52" w:rsidRPr="00753C9F" w:rsidRDefault="006F6E52" w:rsidP="00753C9F"/>
    <w:sectPr w:rsidR="006F6E52" w:rsidRPr="00753C9F"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490AB4"/>
    <w:rsid w:val="00040C5C"/>
    <w:rsid w:val="000477BD"/>
    <w:rsid w:val="00101A1B"/>
    <w:rsid w:val="00162B21"/>
    <w:rsid w:val="00167FB4"/>
    <w:rsid w:val="00175766"/>
    <w:rsid w:val="001A6745"/>
    <w:rsid w:val="001B6F9E"/>
    <w:rsid w:val="002A1B80"/>
    <w:rsid w:val="002E64BF"/>
    <w:rsid w:val="00337CBE"/>
    <w:rsid w:val="00414E79"/>
    <w:rsid w:val="004626DC"/>
    <w:rsid w:val="00490AB4"/>
    <w:rsid w:val="005775F0"/>
    <w:rsid w:val="006C2C0F"/>
    <w:rsid w:val="006F6E52"/>
    <w:rsid w:val="00721B96"/>
    <w:rsid w:val="00753C9F"/>
    <w:rsid w:val="008F3FEC"/>
    <w:rsid w:val="00997004"/>
    <w:rsid w:val="00997D6E"/>
    <w:rsid w:val="009C2EE4"/>
    <w:rsid w:val="00AB0337"/>
    <w:rsid w:val="00AE7E73"/>
    <w:rsid w:val="00B944CD"/>
    <w:rsid w:val="00BB1376"/>
    <w:rsid w:val="00C54A8E"/>
    <w:rsid w:val="00D4347A"/>
    <w:rsid w:val="00E75E7B"/>
    <w:rsid w:val="00E96763"/>
    <w:rsid w:val="00EF7C7F"/>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4142</Words>
  <Characters>23616</Characters>
  <Application>Microsoft Office Word</Application>
  <DocSecurity>0</DocSecurity>
  <Lines>196</Lines>
  <Paragraphs>55</Paragraphs>
  <ScaleCrop>false</ScaleCrop>
  <Company>Reanimator Extreme Edition</Company>
  <LinksUpToDate>false</LinksUpToDate>
  <CharactersWithSpaces>27703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19</cp:revision>
  <dcterms:created xsi:type="dcterms:W3CDTF">2011-10-20T06:09:00Z</dcterms:created>
  <dcterms:modified xsi:type="dcterms:W3CDTF">2011-10-20T10:18:00Z</dcterms:modified>
</cp:coreProperties>
</file>