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0" w:type="dxa"/>
          <w:right w:w="0" w:type="dxa"/>
        </w:tblCellMar>
        <w:tblLook w:val="04A0"/>
      </w:tblPr>
      <w:tblGrid>
        <w:gridCol w:w="9355"/>
      </w:tblGrid>
      <w:tr w:rsidR="00D4347A" w:rsidTr="00D4347A">
        <w:trPr>
          <w:trHeight w:val="570"/>
          <w:tblCellSpacing w:w="0" w:type="dxa"/>
        </w:trPr>
        <w:tc>
          <w:tcPr>
            <w:tcW w:w="0" w:type="auto"/>
            <w:vAlign w:val="center"/>
            <w:hideMark/>
          </w:tcPr>
          <w:p w:rsidR="00D4347A" w:rsidRDefault="00D4347A" w:rsidP="00D4347A">
            <w:pPr>
              <w:rPr>
                <w:color w:val="626262"/>
                <w:sz w:val="27"/>
                <w:szCs w:val="27"/>
              </w:rPr>
            </w:pPr>
            <w:r>
              <w:rPr>
                <w:color w:val="626262"/>
                <w:sz w:val="27"/>
                <w:szCs w:val="27"/>
              </w:rPr>
              <w:t>Международный стандарт финансовой отчетности (IAS) 34 «Промежуточная финансовая отчетность»</w:t>
            </w:r>
          </w:p>
        </w:tc>
      </w:tr>
      <w:tr w:rsidR="00D4347A" w:rsidTr="00D4347A">
        <w:trPr>
          <w:tblCellSpacing w:w="0" w:type="dxa"/>
        </w:trPr>
        <w:tc>
          <w:tcPr>
            <w:tcW w:w="0" w:type="auto"/>
            <w:vAlign w:val="center"/>
            <w:hideMark/>
          </w:tcPr>
          <w:p w:rsidR="00D4347A" w:rsidRDefault="00D4347A" w:rsidP="00D4347A">
            <w:pPr>
              <w:jc w:val="both"/>
              <w:rPr>
                <w:color w:val="626262"/>
                <w:sz w:val="20"/>
                <w:szCs w:val="20"/>
              </w:rPr>
            </w:pPr>
            <w:r>
              <w:rPr>
                <w:rStyle w:val="a4"/>
                <w:color w:val="626262"/>
                <w:sz w:val="20"/>
                <w:szCs w:val="20"/>
              </w:rPr>
              <w:t>Международный стандарт финансовой отчетности (IAS) 34 «Промежуточная финансовая отчетность»</w:t>
            </w:r>
          </w:p>
          <w:p w:rsidR="00D4347A" w:rsidRDefault="00D4347A" w:rsidP="00D4347A">
            <w:pPr>
              <w:pStyle w:val="a3"/>
              <w:jc w:val="both"/>
              <w:rPr>
                <w:color w:val="626262"/>
                <w:sz w:val="20"/>
                <w:szCs w:val="20"/>
              </w:rPr>
            </w:pPr>
            <w:r>
              <w:rPr>
                <w:rStyle w:val="a5"/>
                <w:color w:val="626262"/>
                <w:sz w:val="20"/>
                <w:szCs w:val="20"/>
              </w:rPr>
              <w:t>Настоящая редакция включает поправки, внесенные в соответствии с новыми и пересмотренными МСФО (IFRS), выпущенными до 30 ноября 2005 г.</w:t>
            </w:r>
          </w:p>
          <w:p w:rsidR="00D4347A" w:rsidRDefault="00D4347A" w:rsidP="00D4347A">
            <w:pPr>
              <w:pStyle w:val="a3"/>
              <w:jc w:val="both"/>
              <w:rPr>
                <w:color w:val="626262"/>
                <w:sz w:val="20"/>
                <w:szCs w:val="20"/>
              </w:rPr>
            </w:pPr>
            <w:r>
              <w:rPr>
                <w:rStyle w:val="a4"/>
                <w:color w:val="626262"/>
                <w:sz w:val="20"/>
                <w:szCs w:val="20"/>
              </w:rPr>
              <w:t>Цель</w:t>
            </w:r>
          </w:p>
          <w:p w:rsidR="00D4347A" w:rsidRDefault="00D4347A" w:rsidP="00D4347A">
            <w:pPr>
              <w:pStyle w:val="a3"/>
              <w:jc w:val="both"/>
              <w:rPr>
                <w:color w:val="626262"/>
                <w:sz w:val="20"/>
                <w:szCs w:val="20"/>
              </w:rPr>
            </w:pPr>
            <w:r>
              <w:rPr>
                <w:color w:val="626262"/>
                <w:sz w:val="20"/>
                <w:szCs w:val="20"/>
              </w:rPr>
              <w:t>Цель настоящего стандарта заключается в том, чтобы определить минимальное содержание промежуточного финансового отчета и установить принципы признания и измерения в полной или сокращенной версии финансовой отчетности за промежуточный период. Своевременная и надежная промежуточная финансовая отчетность повышает способность инвесторов, кредиторов и других лиц понять возможности предприятия по генерированию прибыли и потоков денежных средств, а также его финансовое состояние и ликвидность.</w:t>
            </w:r>
          </w:p>
          <w:p w:rsidR="00D4347A" w:rsidRDefault="00D4347A" w:rsidP="00D4347A">
            <w:pPr>
              <w:pStyle w:val="a3"/>
              <w:jc w:val="both"/>
              <w:rPr>
                <w:color w:val="626262"/>
                <w:sz w:val="20"/>
                <w:szCs w:val="20"/>
              </w:rPr>
            </w:pPr>
            <w:r>
              <w:rPr>
                <w:color w:val="626262"/>
                <w:sz w:val="20"/>
                <w:szCs w:val="20"/>
              </w:rPr>
              <w:t> </w:t>
            </w:r>
          </w:p>
          <w:p w:rsidR="00D4347A" w:rsidRDefault="00D4347A" w:rsidP="00D4347A">
            <w:pPr>
              <w:pStyle w:val="a3"/>
              <w:jc w:val="both"/>
              <w:rPr>
                <w:color w:val="626262"/>
                <w:sz w:val="20"/>
                <w:szCs w:val="20"/>
              </w:rPr>
            </w:pPr>
            <w:r>
              <w:rPr>
                <w:rStyle w:val="a4"/>
                <w:color w:val="626262"/>
                <w:sz w:val="20"/>
                <w:szCs w:val="20"/>
              </w:rPr>
              <w:t>Сфера применения</w:t>
            </w:r>
          </w:p>
          <w:p w:rsidR="00D4347A" w:rsidRDefault="00D4347A" w:rsidP="00D4347A">
            <w:pPr>
              <w:pStyle w:val="a3"/>
              <w:jc w:val="both"/>
              <w:rPr>
                <w:color w:val="626262"/>
                <w:sz w:val="20"/>
                <w:szCs w:val="20"/>
              </w:rPr>
            </w:pPr>
            <w:r>
              <w:rPr>
                <w:color w:val="626262"/>
                <w:sz w:val="20"/>
                <w:szCs w:val="20"/>
              </w:rPr>
              <w:t>1              Настоящий стандарт не определяет, какие предприятия должны публиковать промежуточную финансовую отчетность, с какой частотой или как быстро после окончания промежуточного периода это следует делать. Однако правительство, регуляторы рынка ценных бумаг, биржи и органы, регулирующие бухгалтерский учет, часто требуют, чтобы предприятия, долговые или долевые ценные бумаги которых обращаются на открытом рынке, публиковали промежуточную финансовую отчетность. Настоящий стандарт применяется, если от предприятия требуется или оно самостоятельно принимает решение публиковать промежуточную финансовую отчетность в соответствии с Международными стандартами финансовой отчетности (IFRS). Комитет по международным стандартам финансовой отчетности</w:t>
            </w:r>
            <w:bookmarkStart w:id="0" w:name="_ftnref1"/>
            <w:r>
              <w:rPr>
                <w:color w:val="626262"/>
                <w:sz w:val="20"/>
                <w:szCs w:val="20"/>
              </w:rPr>
              <w:fldChar w:fldCharType="begin"/>
            </w:r>
            <w:r>
              <w:rPr>
                <w:color w:val="626262"/>
                <w:sz w:val="20"/>
                <w:szCs w:val="20"/>
              </w:rPr>
              <w:instrText xml:space="preserve"> HYPERLINK "http://www.kz-adviser.kz/official/32-ifrs/201-ias34" \l "_ftn1" </w:instrText>
            </w:r>
            <w:r>
              <w:rPr>
                <w:color w:val="626262"/>
                <w:sz w:val="20"/>
                <w:szCs w:val="20"/>
              </w:rPr>
              <w:fldChar w:fldCharType="separate"/>
            </w:r>
            <w:r>
              <w:rPr>
                <w:rStyle w:val="a6"/>
                <w:sz w:val="20"/>
                <w:szCs w:val="20"/>
              </w:rPr>
              <w:t>[1]</w:t>
            </w:r>
            <w:r>
              <w:rPr>
                <w:color w:val="626262"/>
                <w:sz w:val="20"/>
                <w:szCs w:val="20"/>
              </w:rPr>
              <w:fldChar w:fldCharType="end"/>
            </w:r>
            <w:bookmarkEnd w:id="0"/>
            <w:r>
              <w:rPr>
                <w:color w:val="626262"/>
                <w:sz w:val="20"/>
                <w:szCs w:val="20"/>
              </w:rPr>
              <w:t>приветствует предоставление промежуточной финансовой отчетности предприятиями, ценные бумаги которых обращаются на открытом рынке, если такая отчетность соответствует принципам признания, измерения и раскрытия информации, установленным в настоящем стандарте. В частности, приветствуется, когда предприятия, ценные бумаги которых обращаются на открытом рынке:</w:t>
            </w:r>
          </w:p>
          <w:p w:rsidR="00D4347A" w:rsidRDefault="00D4347A" w:rsidP="00D4347A">
            <w:pPr>
              <w:pStyle w:val="a3"/>
              <w:jc w:val="both"/>
              <w:rPr>
                <w:color w:val="626262"/>
                <w:sz w:val="20"/>
                <w:szCs w:val="20"/>
              </w:rPr>
            </w:pPr>
            <w:r>
              <w:rPr>
                <w:color w:val="626262"/>
                <w:sz w:val="20"/>
                <w:szCs w:val="20"/>
              </w:rPr>
              <w:t>(a)           представляют промежуточную финансовую отчетность, по крайней мере, по состоянию на конец первого полугодия своего финансового года; и</w:t>
            </w:r>
          </w:p>
          <w:p w:rsidR="00D4347A" w:rsidRDefault="00D4347A" w:rsidP="00D4347A">
            <w:pPr>
              <w:pStyle w:val="a3"/>
              <w:jc w:val="both"/>
              <w:rPr>
                <w:color w:val="626262"/>
                <w:sz w:val="20"/>
                <w:szCs w:val="20"/>
              </w:rPr>
            </w:pPr>
            <w:r>
              <w:rPr>
                <w:color w:val="626262"/>
                <w:sz w:val="20"/>
                <w:szCs w:val="20"/>
              </w:rPr>
              <w:t>(b)           предоставляют свою промежуточную финансовую отчетность не позднее, чем через 60 дней после окончания промежуточного периода.</w:t>
            </w:r>
          </w:p>
          <w:p w:rsidR="00D4347A" w:rsidRDefault="00D4347A" w:rsidP="00D4347A">
            <w:pPr>
              <w:pStyle w:val="a3"/>
              <w:jc w:val="both"/>
              <w:rPr>
                <w:color w:val="626262"/>
                <w:sz w:val="20"/>
                <w:szCs w:val="20"/>
              </w:rPr>
            </w:pPr>
            <w:r>
              <w:rPr>
                <w:color w:val="626262"/>
                <w:sz w:val="20"/>
                <w:szCs w:val="20"/>
              </w:rPr>
              <w:t>2              Каждый финансовый отчет, как годовой, так и промежуточный, оценивается отдельно на предмет его соответствия Международным стандартам финансовой отчетности (IFRS). Тот факт, что предприятие могло не составлять промежуточную финансовую отчетность в течение определенного финансового года или составляло промежуточную финансовую отчетность, не соответствующую настоящему стандарту, не приводит к несоответствию годовой финансовой отчетности этого предприятия Международным стандартам финансовой отчетности (IFRS), если в остальном годовая финансовая отчетность им соответствует.</w:t>
            </w:r>
          </w:p>
          <w:p w:rsidR="00D4347A" w:rsidRDefault="00D4347A" w:rsidP="00D4347A">
            <w:pPr>
              <w:pStyle w:val="a3"/>
              <w:jc w:val="both"/>
              <w:rPr>
                <w:color w:val="626262"/>
                <w:sz w:val="20"/>
                <w:szCs w:val="20"/>
              </w:rPr>
            </w:pPr>
            <w:r>
              <w:rPr>
                <w:color w:val="626262"/>
                <w:sz w:val="20"/>
                <w:szCs w:val="20"/>
              </w:rPr>
              <w:t>3              Если промежуточная финансовая отчетность предприятия определяется как соответствующая Международным стандартам финансовой отчетности (IFRS), то она должна соответствовать всем требованиям настоящего стандарта. Пункт 19 требует соответствующего раскрытия в этой связи.</w:t>
            </w:r>
          </w:p>
          <w:p w:rsidR="00D4347A" w:rsidRDefault="00D4347A" w:rsidP="00D4347A">
            <w:pPr>
              <w:pStyle w:val="a3"/>
              <w:jc w:val="both"/>
              <w:rPr>
                <w:color w:val="626262"/>
                <w:sz w:val="20"/>
                <w:szCs w:val="20"/>
              </w:rPr>
            </w:pPr>
            <w:r>
              <w:rPr>
                <w:color w:val="626262"/>
                <w:sz w:val="20"/>
                <w:szCs w:val="20"/>
              </w:rPr>
              <w:t> </w:t>
            </w:r>
          </w:p>
          <w:p w:rsidR="00D4347A" w:rsidRDefault="00D4347A" w:rsidP="00D4347A">
            <w:pPr>
              <w:pStyle w:val="a3"/>
              <w:jc w:val="both"/>
              <w:rPr>
                <w:color w:val="626262"/>
                <w:sz w:val="20"/>
                <w:szCs w:val="20"/>
              </w:rPr>
            </w:pPr>
            <w:r>
              <w:rPr>
                <w:rStyle w:val="a4"/>
                <w:color w:val="626262"/>
                <w:sz w:val="20"/>
                <w:szCs w:val="20"/>
              </w:rPr>
              <w:t>Определения</w:t>
            </w:r>
          </w:p>
          <w:p w:rsidR="00D4347A" w:rsidRDefault="00D4347A" w:rsidP="00D4347A">
            <w:pPr>
              <w:pStyle w:val="a3"/>
              <w:jc w:val="both"/>
              <w:rPr>
                <w:color w:val="626262"/>
                <w:sz w:val="20"/>
                <w:szCs w:val="20"/>
              </w:rPr>
            </w:pPr>
            <w:r>
              <w:rPr>
                <w:color w:val="626262"/>
                <w:sz w:val="20"/>
                <w:szCs w:val="20"/>
              </w:rPr>
              <w:t>4              В настоящем стандарте используются следующие термины в указанных значениях:</w:t>
            </w:r>
          </w:p>
          <w:p w:rsidR="00D4347A" w:rsidRDefault="00D4347A" w:rsidP="00D4347A">
            <w:pPr>
              <w:pStyle w:val="a3"/>
              <w:jc w:val="both"/>
              <w:rPr>
                <w:color w:val="626262"/>
                <w:sz w:val="20"/>
                <w:szCs w:val="20"/>
              </w:rPr>
            </w:pPr>
            <w:r>
              <w:rPr>
                <w:rStyle w:val="a5"/>
                <w:color w:val="626262"/>
                <w:sz w:val="20"/>
                <w:szCs w:val="20"/>
              </w:rPr>
              <w:lastRenderedPageBreak/>
              <w:t>Промежуточный период</w:t>
            </w:r>
            <w:r>
              <w:rPr>
                <w:rStyle w:val="apple-converted-space"/>
                <w:color w:val="626262"/>
                <w:sz w:val="20"/>
                <w:szCs w:val="20"/>
              </w:rPr>
              <w:t> </w:t>
            </w:r>
            <w:r>
              <w:rPr>
                <w:color w:val="626262"/>
                <w:sz w:val="20"/>
                <w:szCs w:val="20"/>
              </w:rPr>
              <w:t>представляет собой отчетный финансовый период короче чем полный финансовый год.</w:t>
            </w:r>
          </w:p>
          <w:p w:rsidR="00D4347A" w:rsidRDefault="00D4347A" w:rsidP="00D4347A">
            <w:pPr>
              <w:pStyle w:val="a3"/>
              <w:jc w:val="both"/>
              <w:rPr>
                <w:color w:val="626262"/>
                <w:sz w:val="20"/>
                <w:szCs w:val="20"/>
              </w:rPr>
            </w:pPr>
            <w:r>
              <w:rPr>
                <w:rStyle w:val="a5"/>
                <w:color w:val="626262"/>
                <w:sz w:val="20"/>
                <w:szCs w:val="20"/>
              </w:rPr>
              <w:t>Промежуточный финансовый отчет</w:t>
            </w:r>
            <w:r>
              <w:rPr>
                <w:rStyle w:val="apple-converted-space"/>
                <w:color w:val="626262"/>
                <w:sz w:val="20"/>
                <w:szCs w:val="20"/>
              </w:rPr>
              <w:t> </w:t>
            </w:r>
            <w:r>
              <w:rPr>
                <w:color w:val="626262"/>
                <w:sz w:val="20"/>
                <w:szCs w:val="20"/>
              </w:rPr>
              <w:t>означает финансовый отчет, содержащий либо полный комплект финансовой отчетности (в соответствии с указаниями МСФО (IAS) 1</w:t>
            </w:r>
            <w:r>
              <w:rPr>
                <w:rStyle w:val="apple-converted-space"/>
                <w:color w:val="626262"/>
                <w:sz w:val="20"/>
                <w:szCs w:val="20"/>
              </w:rPr>
              <w:t> </w:t>
            </w:r>
            <w:r>
              <w:rPr>
                <w:rStyle w:val="a5"/>
                <w:color w:val="626262"/>
                <w:sz w:val="20"/>
                <w:szCs w:val="20"/>
              </w:rPr>
              <w:t>«Представление финансовой отчетности»</w:t>
            </w:r>
            <w:r>
              <w:rPr>
                <w:color w:val="626262"/>
                <w:sz w:val="20"/>
                <w:szCs w:val="20"/>
              </w:rPr>
              <w:t>), либо комплект сокращенной финансовой отчетности (в соответствии с указаниями настоящего стандарта) за промежуточный период.</w:t>
            </w:r>
          </w:p>
          <w:p w:rsidR="00D4347A" w:rsidRDefault="00D4347A" w:rsidP="00D4347A">
            <w:pPr>
              <w:pStyle w:val="a3"/>
              <w:jc w:val="both"/>
              <w:rPr>
                <w:color w:val="626262"/>
                <w:sz w:val="20"/>
                <w:szCs w:val="20"/>
              </w:rPr>
            </w:pPr>
            <w:r>
              <w:rPr>
                <w:color w:val="626262"/>
                <w:sz w:val="20"/>
                <w:szCs w:val="20"/>
              </w:rPr>
              <w:t> </w:t>
            </w:r>
          </w:p>
          <w:p w:rsidR="00D4347A" w:rsidRDefault="00D4347A" w:rsidP="00D4347A">
            <w:pPr>
              <w:pStyle w:val="a3"/>
              <w:jc w:val="both"/>
              <w:rPr>
                <w:color w:val="626262"/>
                <w:sz w:val="20"/>
                <w:szCs w:val="20"/>
              </w:rPr>
            </w:pPr>
            <w:r>
              <w:rPr>
                <w:rStyle w:val="a4"/>
                <w:color w:val="626262"/>
                <w:sz w:val="20"/>
                <w:szCs w:val="20"/>
              </w:rPr>
              <w:t>Содержание промежуточного финансового отчета</w:t>
            </w:r>
          </w:p>
          <w:p w:rsidR="00D4347A" w:rsidRDefault="00D4347A" w:rsidP="00D4347A">
            <w:pPr>
              <w:pStyle w:val="a3"/>
              <w:jc w:val="both"/>
              <w:rPr>
                <w:color w:val="626262"/>
                <w:sz w:val="20"/>
                <w:szCs w:val="20"/>
              </w:rPr>
            </w:pPr>
            <w:r>
              <w:rPr>
                <w:color w:val="626262"/>
                <w:sz w:val="20"/>
                <w:szCs w:val="20"/>
              </w:rPr>
              <w:t>5              МСФО (IAS) 1 определяет полный комплект финансовой отчетности как документ, включающий следующие компоненты:</w:t>
            </w:r>
          </w:p>
          <w:p w:rsidR="00D4347A" w:rsidRDefault="00D4347A" w:rsidP="00D4347A">
            <w:pPr>
              <w:pStyle w:val="a3"/>
              <w:jc w:val="both"/>
              <w:rPr>
                <w:color w:val="626262"/>
                <w:sz w:val="20"/>
                <w:szCs w:val="20"/>
              </w:rPr>
            </w:pPr>
            <w:r>
              <w:rPr>
                <w:color w:val="626262"/>
                <w:sz w:val="20"/>
                <w:szCs w:val="20"/>
              </w:rPr>
              <w:t>(a)           баланс;</w:t>
            </w:r>
          </w:p>
          <w:p w:rsidR="00D4347A" w:rsidRDefault="00D4347A" w:rsidP="00D4347A">
            <w:pPr>
              <w:pStyle w:val="a3"/>
              <w:jc w:val="both"/>
              <w:rPr>
                <w:color w:val="626262"/>
                <w:sz w:val="20"/>
                <w:szCs w:val="20"/>
              </w:rPr>
            </w:pPr>
            <w:r>
              <w:rPr>
                <w:color w:val="626262"/>
                <w:sz w:val="20"/>
                <w:szCs w:val="20"/>
              </w:rPr>
              <w:t>(b)           отчет о прибылях и убытках;</w:t>
            </w:r>
          </w:p>
          <w:p w:rsidR="00D4347A" w:rsidRDefault="00D4347A" w:rsidP="00D4347A">
            <w:pPr>
              <w:pStyle w:val="a3"/>
              <w:jc w:val="both"/>
              <w:rPr>
                <w:color w:val="626262"/>
                <w:sz w:val="20"/>
                <w:szCs w:val="20"/>
              </w:rPr>
            </w:pPr>
            <w:r>
              <w:rPr>
                <w:color w:val="626262"/>
                <w:sz w:val="20"/>
                <w:szCs w:val="20"/>
              </w:rPr>
              <w:t>(c)           отчет об изменениях в собственном капитале, отражающий либо:</w:t>
            </w:r>
          </w:p>
          <w:p w:rsidR="00D4347A" w:rsidRDefault="00D4347A" w:rsidP="00D4347A">
            <w:pPr>
              <w:pStyle w:val="a3"/>
              <w:jc w:val="both"/>
              <w:rPr>
                <w:color w:val="626262"/>
                <w:sz w:val="20"/>
                <w:szCs w:val="20"/>
              </w:rPr>
            </w:pPr>
            <w:r>
              <w:rPr>
                <w:color w:val="626262"/>
                <w:sz w:val="20"/>
                <w:szCs w:val="20"/>
              </w:rPr>
              <w:t>(i)            все изменения в собственном капитале, либо</w:t>
            </w:r>
          </w:p>
          <w:p w:rsidR="00D4347A" w:rsidRDefault="00D4347A" w:rsidP="00D4347A">
            <w:pPr>
              <w:pStyle w:val="a3"/>
              <w:jc w:val="both"/>
              <w:rPr>
                <w:color w:val="626262"/>
                <w:sz w:val="20"/>
                <w:szCs w:val="20"/>
              </w:rPr>
            </w:pPr>
            <w:r>
              <w:rPr>
                <w:color w:val="626262"/>
                <w:sz w:val="20"/>
                <w:szCs w:val="20"/>
              </w:rPr>
              <w:t>(ii)           изменения в собственном капитале, за исключением тех, которые возникают в результате операций с владельцами капитала, действующими в качестве владельцев капитала;</w:t>
            </w:r>
          </w:p>
          <w:p w:rsidR="00D4347A" w:rsidRDefault="00D4347A" w:rsidP="00D4347A">
            <w:pPr>
              <w:pStyle w:val="a3"/>
              <w:jc w:val="both"/>
              <w:rPr>
                <w:color w:val="626262"/>
                <w:sz w:val="20"/>
                <w:szCs w:val="20"/>
              </w:rPr>
            </w:pPr>
            <w:r>
              <w:rPr>
                <w:color w:val="626262"/>
                <w:sz w:val="20"/>
                <w:szCs w:val="20"/>
              </w:rPr>
              <w:t>(d)           отчет о движении денежных средств; и</w:t>
            </w:r>
          </w:p>
          <w:p w:rsidR="00D4347A" w:rsidRDefault="00D4347A" w:rsidP="00D4347A">
            <w:pPr>
              <w:pStyle w:val="a3"/>
              <w:jc w:val="both"/>
              <w:rPr>
                <w:color w:val="626262"/>
                <w:sz w:val="20"/>
                <w:szCs w:val="20"/>
              </w:rPr>
            </w:pPr>
            <w:r>
              <w:rPr>
                <w:color w:val="626262"/>
                <w:sz w:val="20"/>
                <w:szCs w:val="20"/>
              </w:rPr>
              <w:t>(e)           примечания, состоящие из краткого изложения значительных аспектов учетной политики и других пояснений к отчетности.</w:t>
            </w:r>
          </w:p>
          <w:p w:rsidR="00D4347A" w:rsidRDefault="00D4347A" w:rsidP="00D4347A">
            <w:pPr>
              <w:pStyle w:val="a3"/>
              <w:jc w:val="both"/>
              <w:rPr>
                <w:color w:val="626262"/>
                <w:sz w:val="20"/>
                <w:szCs w:val="20"/>
              </w:rPr>
            </w:pPr>
            <w:r>
              <w:rPr>
                <w:color w:val="626262"/>
                <w:sz w:val="20"/>
                <w:szCs w:val="20"/>
              </w:rPr>
              <w:t>6              Исходя из соображений своевременности и снижения стоимости, а также во избежание повторения информации, представленной ранее, от предприятия может требоваться или оно может самостоятельно принять решение предоставлять меньшие объемы информации на промежуточные даты по сравнению с годовой финансовой отчетностью. Согласно настоящему стандарту минимальное содержание промежуточного финансового отчета определяется как сокращенная финансовая отчетность и избранные примечания к отчетности. Промежуточный финансовый отчет предназначен для представления обновленной информации по сравнению с последним полным комплектом годовой финансовой отчетности. Соответственно он сосредоточен на новой деятельности, новых событиях и обстоятельствах и не дублирует информацию, представленную ранее.</w:t>
            </w:r>
          </w:p>
          <w:p w:rsidR="00D4347A" w:rsidRDefault="00D4347A" w:rsidP="00D4347A">
            <w:pPr>
              <w:pStyle w:val="a3"/>
              <w:jc w:val="both"/>
              <w:rPr>
                <w:color w:val="626262"/>
                <w:sz w:val="20"/>
                <w:szCs w:val="20"/>
              </w:rPr>
            </w:pPr>
            <w:r>
              <w:rPr>
                <w:color w:val="626262"/>
                <w:sz w:val="20"/>
                <w:szCs w:val="20"/>
              </w:rPr>
              <w:t>7              Никакие положения настоящего стандарта не предназначены для того, чтобы запретить или помешать предприятию публиковать полный комплект финансовой отчетности (определяемый в МСФО (IAS) 1) в промежуточном финансовом отчете вместо сокращенной финансовой отчетности и избранных примечаний. Настоящий стандарт также не запрещает и не мешает предприятию включать в сокращенную промежуточную финансовую отчетность больше информации, нежели минимальный набор статей или избранные примечания, указанные в настоящем стандарте. Принципы признания и измерения, содержащиеся в настоящем стандарте, применяются также и к полной финансовой отчетности за промежуточный период, и такая отчетность может включать всю информацию, подлежащую раскрытию в соответствии с требованиями настоящего стандарта (в частности, требования по раскрытию информации в избранных примечаниях, содержащиеся в пункте 16), а также в соответствии с требованиями других стандартов.</w:t>
            </w:r>
          </w:p>
          <w:p w:rsidR="00D4347A" w:rsidRDefault="00D4347A" w:rsidP="00D4347A">
            <w:pPr>
              <w:pStyle w:val="a3"/>
              <w:jc w:val="both"/>
              <w:rPr>
                <w:color w:val="626262"/>
                <w:sz w:val="20"/>
                <w:szCs w:val="20"/>
              </w:rPr>
            </w:pPr>
            <w:r>
              <w:rPr>
                <w:color w:val="626262"/>
                <w:sz w:val="20"/>
                <w:szCs w:val="20"/>
              </w:rPr>
              <w:t> </w:t>
            </w:r>
          </w:p>
          <w:p w:rsidR="00D4347A" w:rsidRDefault="00D4347A" w:rsidP="00D4347A">
            <w:pPr>
              <w:pStyle w:val="a3"/>
              <w:jc w:val="both"/>
              <w:rPr>
                <w:color w:val="626262"/>
                <w:sz w:val="20"/>
                <w:szCs w:val="20"/>
              </w:rPr>
            </w:pPr>
            <w:r>
              <w:rPr>
                <w:rStyle w:val="a4"/>
                <w:color w:val="626262"/>
                <w:sz w:val="20"/>
                <w:szCs w:val="20"/>
              </w:rPr>
              <w:t>Минимальные компоненты промежуточной финансовой отчетности</w:t>
            </w:r>
          </w:p>
          <w:p w:rsidR="00D4347A" w:rsidRDefault="00D4347A" w:rsidP="00D4347A">
            <w:pPr>
              <w:pStyle w:val="a3"/>
              <w:jc w:val="both"/>
              <w:rPr>
                <w:color w:val="626262"/>
                <w:sz w:val="20"/>
                <w:szCs w:val="20"/>
              </w:rPr>
            </w:pPr>
            <w:r>
              <w:rPr>
                <w:color w:val="626262"/>
                <w:sz w:val="20"/>
                <w:szCs w:val="20"/>
              </w:rPr>
              <w:t>8              Промежуточная финансовая отчетность включает как минимум следующие компоненты:</w:t>
            </w:r>
          </w:p>
          <w:p w:rsidR="00D4347A" w:rsidRDefault="00D4347A" w:rsidP="00D4347A">
            <w:pPr>
              <w:pStyle w:val="a3"/>
              <w:jc w:val="both"/>
              <w:rPr>
                <w:color w:val="626262"/>
                <w:sz w:val="20"/>
                <w:szCs w:val="20"/>
              </w:rPr>
            </w:pPr>
            <w:r>
              <w:rPr>
                <w:color w:val="626262"/>
                <w:sz w:val="20"/>
                <w:szCs w:val="20"/>
              </w:rPr>
              <w:lastRenderedPageBreak/>
              <w:t>(a)           сокращенный баланс;</w:t>
            </w:r>
          </w:p>
          <w:p w:rsidR="00D4347A" w:rsidRDefault="00D4347A" w:rsidP="00D4347A">
            <w:pPr>
              <w:pStyle w:val="a3"/>
              <w:jc w:val="both"/>
              <w:rPr>
                <w:color w:val="626262"/>
                <w:sz w:val="20"/>
                <w:szCs w:val="20"/>
              </w:rPr>
            </w:pPr>
            <w:r>
              <w:rPr>
                <w:color w:val="626262"/>
                <w:sz w:val="20"/>
                <w:szCs w:val="20"/>
              </w:rPr>
              <w:t>(b)           сокращенный отчет о прибылях и убытках;</w:t>
            </w:r>
          </w:p>
          <w:p w:rsidR="00D4347A" w:rsidRDefault="00D4347A" w:rsidP="00D4347A">
            <w:pPr>
              <w:pStyle w:val="a3"/>
              <w:jc w:val="both"/>
              <w:rPr>
                <w:color w:val="626262"/>
                <w:sz w:val="20"/>
                <w:szCs w:val="20"/>
              </w:rPr>
            </w:pPr>
            <w:r>
              <w:rPr>
                <w:color w:val="626262"/>
                <w:sz w:val="20"/>
                <w:szCs w:val="20"/>
              </w:rPr>
              <w:t>(c)           сокращенный отчет, отражающий либо (i) все изменения в собственном капитале, либо (ii) изменения в капитале, за исключением тех, которые возникают в результате относящихся к капиталу операций с собственниками и распределения прибыли в пользу собственников;</w:t>
            </w:r>
          </w:p>
          <w:p w:rsidR="00D4347A" w:rsidRDefault="00D4347A" w:rsidP="00D4347A">
            <w:pPr>
              <w:pStyle w:val="a3"/>
              <w:jc w:val="both"/>
              <w:rPr>
                <w:color w:val="626262"/>
                <w:sz w:val="20"/>
                <w:szCs w:val="20"/>
              </w:rPr>
            </w:pPr>
            <w:r>
              <w:rPr>
                <w:color w:val="626262"/>
                <w:sz w:val="20"/>
                <w:szCs w:val="20"/>
              </w:rPr>
              <w:t>(d)           сокращенный отчет о движении денежных средств; и</w:t>
            </w:r>
          </w:p>
          <w:p w:rsidR="00D4347A" w:rsidRDefault="00D4347A" w:rsidP="00D4347A">
            <w:pPr>
              <w:pStyle w:val="a3"/>
              <w:jc w:val="both"/>
              <w:rPr>
                <w:color w:val="626262"/>
                <w:sz w:val="20"/>
                <w:szCs w:val="20"/>
              </w:rPr>
            </w:pPr>
            <w:r>
              <w:rPr>
                <w:color w:val="626262"/>
                <w:sz w:val="20"/>
                <w:szCs w:val="20"/>
              </w:rPr>
              <w:t>(e)           избранные примечания к отчетности.</w:t>
            </w:r>
          </w:p>
          <w:p w:rsidR="00D4347A" w:rsidRDefault="00D4347A" w:rsidP="00D4347A">
            <w:pPr>
              <w:pStyle w:val="a3"/>
              <w:jc w:val="both"/>
              <w:rPr>
                <w:color w:val="626262"/>
                <w:sz w:val="20"/>
                <w:szCs w:val="20"/>
              </w:rPr>
            </w:pPr>
            <w:r>
              <w:rPr>
                <w:color w:val="626262"/>
                <w:sz w:val="20"/>
                <w:szCs w:val="20"/>
              </w:rPr>
              <w:t> </w:t>
            </w:r>
          </w:p>
          <w:p w:rsidR="00D4347A" w:rsidRDefault="00D4347A" w:rsidP="00D4347A">
            <w:pPr>
              <w:pStyle w:val="a3"/>
              <w:jc w:val="both"/>
              <w:rPr>
                <w:color w:val="626262"/>
                <w:sz w:val="20"/>
                <w:szCs w:val="20"/>
              </w:rPr>
            </w:pPr>
            <w:r>
              <w:rPr>
                <w:rStyle w:val="a4"/>
                <w:color w:val="626262"/>
                <w:sz w:val="20"/>
                <w:szCs w:val="20"/>
              </w:rPr>
              <w:t>Форма и содержание промежуточной финансовой отчетности</w:t>
            </w:r>
          </w:p>
          <w:p w:rsidR="00D4347A" w:rsidRDefault="00D4347A" w:rsidP="00D4347A">
            <w:pPr>
              <w:pStyle w:val="a3"/>
              <w:jc w:val="both"/>
              <w:rPr>
                <w:color w:val="626262"/>
                <w:sz w:val="20"/>
                <w:szCs w:val="20"/>
              </w:rPr>
            </w:pPr>
            <w:r>
              <w:rPr>
                <w:color w:val="626262"/>
                <w:sz w:val="20"/>
                <w:szCs w:val="20"/>
              </w:rPr>
              <w:t>9              Если предприятие публикует полный комплект финансовой отчетности в своем промежуточном финансовом отчете, то форма и содержание такой отчетности должны соответствовать требованиям МСФО (IAS) 1 к полному комплекту финансовой отчетности.</w:t>
            </w:r>
          </w:p>
          <w:p w:rsidR="00D4347A" w:rsidRDefault="00D4347A" w:rsidP="00D4347A">
            <w:pPr>
              <w:pStyle w:val="a3"/>
              <w:jc w:val="both"/>
              <w:rPr>
                <w:color w:val="626262"/>
                <w:sz w:val="20"/>
                <w:szCs w:val="20"/>
              </w:rPr>
            </w:pPr>
            <w:r>
              <w:rPr>
                <w:color w:val="626262"/>
                <w:sz w:val="20"/>
                <w:szCs w:val="20"/>
              </w:rPr>
              <w:t>10           Если предприятие публикует в своей промежуточной финансовой отчетности комплект сокращенной финансовой отчетности, то такая сокращенная отчетность должна как минимум включать каждый заголовок и промежуточный итог, которые были включены в его последнюю годовую финансовую отчетность, а также избранные примечания к отчетности в соответствии с требованиями настоящего стандарта. Дополнительные статьи или примечания включаются, если при их отсутствии сокращенная промежуточная финансовая отчетность будет вводить пользователей в заблуждение.</w:t>
            </w:r>
          </w:p>
          <w:p w:rsidR="00D4347A" w:rsidRDefault="00D4347A" w:rsidP="00D4347A">
            <w:pPr>
              <w:pStyle w:val="a3"/>
              <w:jc w:val="both"/>
              <w:rPr>
                <w:color w:val="626262"/>
                <w:sz w:val="20"/>
                <w:szCs w:val="20"/>
              </w:rPr>
            </w:pPr>
            <w:r>
              <w:rPr>
                <w:color w:val="626262"/>
                <w:sz w:val="20"/>
                <w:szCs w:val="20"/>
              </w:rPr>
              <w:t>11           Информация о базовой и разводненной прибыли на акцию представляется непосредственно в полном или сокращенном отчете о прибылях и убытках за промежуточный период.</w:t>
            </w:r>
          </w:p>
          <w:p w:rsidR="00D4347A" w:rsidRDefault="00D4347A" w:rsidP="00D4347A">
            <w:pPr>
              <w:pStyle w:val="a3"/>
              <w:jc w:val="both"/>
              <w:rPr>
                <w:color w:val="626262"/>
                <w:sz w:val="20"/>
                <w:szCs w:val="20"/>
              </w:rPr>
            </w:pPr>
            <w:r>
              <w:rPr>
                <w:color w:val="626262"/>
                <w:sz w:val="20"/>
                <w:szCs w:val="20"/>
              </w:rPr>
              <w:t>12            МСФО (IAS) 1 содержит указания в отношении структуры финансовой отчетности. «Руководство по применению» к МСФО (IAS) 1 иллюстрирует формат представления баланса, отчета о прибылях и убытках и отчета об изменениях в собственном капитале.</w:t>
            </w:r>
          </w:p>
          <w:p w:rsidR="00D4347A" w:rsidRDefault="00D4347A" w:rsidP="00D4347A">
            <w:pPr>
              <w:pStyle w:val="a3"/>
              <w:jc w:val="both"/>
              <w:rPr>
                <w:color w:val="626262"/>
                <w:sz w:val="20"/>
                <w:szCs w:val="20"/>
              </w:rPr>
            </w:pPr>
            <w:r>
              <w:rPr>
                <w:color w:val="626262"/>
                <w:sz w:val="20"/>
                <w:szCs w:val="20"/>
              </w:rPr>
              <w:t>13            Согласно требованиям МСФО (IAS) 1 отчет об изменениях в собственном капитале представляется как отдельный компонент финансовой отчетности предприятия. При этом разрешается, чтобы информация об изменениях в капитале, возникающих в результате операций с владельцами капитала, действующими в качестве владельцев капитала (включая распределение прибыли в пользу владельцев капитала), отражалась либо непосредственно в самом отчете, либо в примечаниях. В своем промежуточном отчете об изменениях в собственном капитале предприятие использует тот же формат, который использовался в его последнем годовом отчете.</w:t>
            </w:r>
          </w:p>
          <w:p w:rsidR="00D4347A" w:rsidRDefault="00D4347A" w:rsidP="00D4347A">
            <w:pPr>
              <w:pStyle w:val="a3"/>
              <w:jc w:val="both"/>
              <w:rPr>
                <w:color w:val="626262"/>
                <w:sz w:val="20"/>
                <w:szCs w:val="20"/>
              </w:rPr>
            </w:pPr>
            <w:r>
              <w:rPr>
                <w:color w:val="626262"/>
                <w:sz w:val="20"/>
                <w:szCs w:val="20"/>
              </w:rPr>
              <w:t>14            Промежуточный финансовый отчет готовится на консолидированной основе, если последняя годовая финансовая отчетность предприятия была консолидированной. Отдельная отчетность материнского предприятия не совместима и не сопоставима с консолидированной отчетностью в последнем годовом финансовом отчете. Если помимо консолидированной финансовой отчетности годовой финансовый отчет предприятия включал отдельную отчетность материнского предприятия, то настоящий стандарт не требует, но и не запрещает включения отдельной отчетности материнского предприятия в промежуточный финансовый отчет.</w:t>
            </w:r>
          </w:p>
          <w:p w:rsidR="00D4347A" w:rsidRDefault="00D4347A" w:rsidP="00D4347A">
            <w:pPr>
              <w:pStyle w:val="a3"/>
              <w:jc w:val="both"/>
              <w:rPr>
                <w:color w:val="626262"/>
                <w:sz w:val="20"/>
                <w:szCs w:val="20"/>
              </w:rPr>
            </w:pPr>
            <w:r>
              <w:rPr>
                <w:color w:val="626262"/>
                <w:sz w:val="20"/>
                <w:szCs w:val="20"/>
              </w:rPr>
              <w:t> </w:t>
            </w:r>
          </w:p>
          <w:p w:rsidR="00D4347A" w:rsidRDefault="00D4347A" w:rsidP="00D4347A">
            <w:pPr>
              <w:pStyle w:val="a3"/>
              <w:jc w:val="both"/>
              <w:rPr>
                <w:color w:val="626262"/>
                <w:sz w:val="20"/>
                <w:szCs w:val="20"/>
              </w:rPr>
            </w:pPr>
            <w:r>
              <w:rPr>
                <w:rStyle w:val="a4"/>
                <w:color w:val="626262"/>
                <w:sz w:val="20"/>
                <w:szCs w:val="20"/>
              </w:rPr>
              <w:t>Избранные примечания к отчетности</w:t>
            </w:r>
          </w:p>
          <w:p w:rsidR="00D4347A" w:rsidRDefault="00D4347A" w:rsidP="00D4347A">
            <w:pPr>
              <w:pStyle w:val="a3"/>
              <w:jc w:val="both"/>
              <w:rPr>
                <w:color w:val="626262"/>
                <w:sz w:val="20"/>
                <w:szCs w:val="20"/>
              </w:rPr>
            </w:pPr>
            <w:r>
              <w:rPr>
                <w:color w:val="626262"/>
                <w:sz w:val="20"/>
                <w:szCs w:val="20"/>
              </w:rPr>
              <w:t xml:space="preserve">15            Пользователь промежуточной финансовой отчетности предприятия также получает доступ к последнему годовому финансовому отчету этого предприятия. Таким образом, нет необходимости в том, чтобы примечания к промежуточной финансовой отчетности отражали относительно незначительные изменения информации, уже представленной в примечаниях к последнему годовому отчету. На промежуточную дату полезнее представить объяснения событий и операций, произошедших с даты последней годовой отчетности, которые являются значительными для понимания изменений в финансовом </w:t>
            </w:r>
            <w:r>
              <w:rPr>
                <w:color w:val="626262"/>
                <w:sz w:val="20"/>
                <w:szCs w:val="20"/>
              </w:rPr>
              <w:lastRenderedPageBreak/>
              <w:t>положении и результатах деятельности предприятия.</w:t>
            </w:r>
          </w:p>
          <w:p w:rsidR="00D4347A" w:rsidRDefault="00D4347A" w:rsidP="00D4347A">
            <w:pPr>
              <w:pStyle w:val="a3"/>
              <w:jc w:val="both"/>
              <w:rPr>
                <w:color w:val="626262"/>
                <w:sz w:val="20"/>
                <w:szCs w:val="20"/>
              </w:rPr>
            </w:pPr>
            <w:r>
              <w:rPr>
                <w:color w:val="626262"/>
                <w:sz w:val="20"/>
                <w:szCs w:val="20"/>
              </w:rPr>
              <w:t>16           Предприятие должно включать в примечания к промежуточной финансовой отчетности как минимум следующую информацию в случае ее существенности, а также в случае, если она не раскрыта в каком-либо другом компоненте промежуточного финансового отчета. Информация обычно отражается нарастающим итогом с начала года до текущей даты. При этом предприятие также должно раскрыть информацию о любых событиях или операциях, существенных для понимания текущего промежуточного периода:</w:t>
            </w:r>
          </w:p>
          <w:p w:rsidR="00D4347A" w:rsidRDefault="00D4347A" w:rsidP="00D4347A">
            <w:pPr>
              <w:pStyle w:val="a3"/>
              <w:jc w:val="both"/>
              <w:rPr>
                <w:color w:val="626262"/>
                <w:sz w:val="20"/>
                <w:szCs w:val="20"/>
              </w:rPr>
            </w:pPr>
            <w:r>
              <w:rPr>
                <w:color w:val="626262"/>
                <w:sz w:val="20"/>
                <w:szCs w:val="20"/>
              </w:rPr>
              <w:t>(a)           заявление о том, что в промежуточной финансовой отчетности применяются те же принципы учетной политики и методы расчета, что и в последней годовой финансовой отчетности, а в случае отличия таких принципов учетной политики или методов - описание характера и воздействия изменения;</w:t>
            </w:r>
          </w:p>
          <w:p w:rsidR="00D4347A" w:rsidRDefault="00D4347A" w:rsidP="00D4347A">
            <w:pPr>
              <w:pStyle w:val="a3"/>
              <w:jc w:val="both"/>
              <w:rPr>
                <w:color w:val="626262"/>
                <w:sz w:val="20"/>
                <w:szCs w:val="20"/>
              </w:rPr>
            </w:pPr>
            <w:r>
              <w:rPr>
                <w:color w:val="626262"/>
                <w:sz w:val="20"/>
                <w:szCs w:val="20"/>
              </w:rPr>
              <w:t>(b)           пояснения в отношении сезонности или цикличности операций за промежуточный период;</w:t>
            </w:r>
          </w:p>
          <w:p w:rsidR="00D4347A" w:rsidRDefault="00D4347A" w:rsidP="00D4347A">
            <w:pPr>
              <w:pStyle w:val="a3"/>
              <w:jc w:val="both"/>
              <w:rPr>
                <w:color w:val="626262"/>
                <w:sz w:val="20"/>
                <w:szCs w:val="20"/>
              </w:rPr>
            </w:pPr>
            <w:r>
              <w:rPr>
                <w:color w:val="626262"/>
                <w:sz w:val="20"/>
                <w:szCs w:val="20"/>
              </w:rPr>
              <w:t>(c)           характер и сумма статей, оказывающих воздействие на активы, обязательства, собственный капитал, чистый доход или потоки денежных средств, которые являются необычными по своему характеру, размеру или воздействию;</w:t>
            </w:r>
          </w:p>
          <w:p w:rsidR="00D4347A" w:rsidRDefault="00D4347A" w:rsidP="00D4347A">
            <w:pPr>
              <w:pStyle w:val="a3"/>
              <w:jc w:val="both"/>
              <w:rPr>
                <w:color w:val="626262"/>
                <w:sz w:val="20"/>
                <w:szCs w:val="20"/>
              </w:rPr>
            </w:pPr>
            <w:r>
              <w:rPr>
                <w:color w:val="626262"/>
                <w:sz w:val="20"/>
                <w:szCs w:val="20"/>
              </w:rPr>
              <w:t>(d)           характер и объем изменений в расчетных оценках сумм, отраженных в предыдущих промежуточных периодах текущего финансового года, или изменений в расчетных оценках сумм, отраженных в предыдущих финансовых годах, если эти изменения оказывают существенное воздействие на текущий промежуточный период;</w:t>
            </w:r>
          </w:p>
          <w:p w:rsidR="00D4347A" w:rsidRDefault="00D4347A" w:rsidP="00D4347A">
            <w:pPr>
              <w:pStyle w:val="a3"/>
              <w:jc w:val="both"/>
              <w:rPr>
                <w:color w:val="626262"/>
                <w:sz w:val="20"/>
                <w:szCs w:val="20"/>
              </w:rPr>
            </w:pPr>
            <w:r>
              <w:rPr>
                <w:color w:val="626262"/>
                <w:sz w:val="20"/>
                <w:szCs w:val="20"/>
              </w:rPr>
              <w:t>(e)           выпуск, выкуп и погашение долговых и долевых ценных бумаг;</w:t>
            </w:r>
          </w:p>
          <w:p w:rsidR="00D4347A" w:rsidRDefault="00D4347A" w:rsidP="00D4347A">
            <w:pPr>
              <w:pStyle w:val="a3"/>
              <w:jc w:val="both"/>
              <w:rPr>
                <w:color w:val="626262"/>
                <w:sz w:val="20"/>
                <w:szCs w:val="20"/>
              </w:rPr>
            </w:pPr>
            <w:r>
              <w:rPr>
                <w:color w:val="626262"/>
                <w:sz w:val="20"/>
                <w:szCs w:val="20"/>
              </w:rPr>
              <w:t>(f)            дивиденды уплаченные (в совокупности или на акцию) отдельно по обыкновенным и прочим акциям;</w:t>
            </w:r>
          </w:p>
          <w:p w:rsidR="00D4347A" w:rsidRDefault="00D4347A" w:rsidP="00D4347A">
            <w:pPr>
              <w:pStyle w:val="a3"/>
              <w:jc w:val="both"/>
              <w:rPr>
                <w:color w:val="626262"/>
                <w:sz w:val="20"/>
                <w:szCs w:val="20"/>
              </w:rPr>
            </w:pPr>
            <w:r>
              <w:rPr>
                <w:color w:val="626262"/>
                <w:sz w:val="20"/>
                <w:szCs w:val="20"/>
              </w:rPr>
              <w:t>(g)           доходы сегмента и результаты сегмента по бизнес-сегментам или географическим сегментам в зависимости от того, какой сегмент является первичным для сегментной отчетности предприятия (раскрытие данных по сегментам в промежуточном финансовом отчете предприятия необходимо только в том случае, если предприятие должно раскрывать данные по сегментам в своей годовой финансовой отчетности в соответствии с требованиями МСФО (IAS) 14</w:t>
            </w:r>
            <w:r>
              <w:rPr>
                <w:rStyle w:val="apple-converted-space"/>
                <w:color w:val="626262"/>
                <w:sz w:val="20"/>
                <w:szCs w:val="20"/>
              </w:rPr>
              <w:t> </w:t>
            </w:r>
            <w:r>
              <w:rPr>
                <w:rStyle w:val="a5"/>
                <w:color w:val="626262"/>
                <w:sz w:val="20"/>
                <w:szCs w:val="20"/>
              </w:rPr>
              <w:t>«Сегментная отчетность»</w:t>
            </w:r>
            <w:r>
              <w:rPr>
                <w:color w:val="626262"/>
                <w:sz w:val="20"/>
                <w:szCs w:val="20"/>
              </w:rPr>
              <w:t>);</w:t>
            </w:r>
          </w:p>
          <w:p w:rsidR="00D4347A" w:rsidRDefault="00D4347A" w:rsidP="00D4347A">
            <w:pPr>
              <w:pStyle w:val="a3"/>
              <w:jc w:val="both"/>
              <w:rPr>
                <w:color w:val="626262"/>
                <w:sz w:val="20"/>
                <w:szCs w:val="20"/>
              </w:rPr>
            </w:pPr>
            <w:r>
              <w:rPr>
                <w:color w:val="626262"/>
                <w:sz w:val="20"/>
                <w:szCs w:val="20"/>
              </w:rPr>
              <w:t>(h)           существенные события после окончания промежуточного периода, которые не были отражены в финансовой отчетности за промежуточный период;</w:t>
            </w:r>
          </w:p>
          <w:p w:rsidR="00D4347A" w:rsidRDefault="00D4347A" w:rsidP="00D4347A">
            <w:pPr>
              <w:pStyle w:val="a3"/>
              <w:jc w:val="both"/>
              <w:rPr>
                <w:color w:val="626262"/>
                <w:sz w:val="20"/>
                <w:szCs w:val="20"/>
              </w:rPr>
            </w:pPr>
            <w:r>
              <w:rPr>
                <w:color w:val="626262"/>
                <w:sz w:val="20"/>
                <w:szCs w:val="20"/>
              </w:rPr>
              <w:t>В случае объединения бизнеса предприятие раскрывает информацию, подлежащую раскрытию в соответствии с пунктами 66-73 МСФО (IFRS) 3</w:t>
            </w:r>
            <w:r>
              <w:rPr>
                <w:rFonts w:ascii="Cambria Math" w:hAnsi="Cambria Math" w:cs="Cambria Math"/>
                <w:color w:val="626262"/>
                <w:sz w:val="20"/>
                <w:szCs w:val="20"/>
              </w:rPr>
              <w:t> </w:t>
            </w:r>
            <w:r>
              <w:rPr>
                <w:color w:val="626262"/>
                <w:sz w:val="20"/>
                <w:szCs w:val="20"/>
              </w:rPr>
              <w:t>(i)            влияние изменений в составе предприятия в течение промежуточного периода, включая объединение бизнеса, приобретение или выбытие дочерних предприятий и долгосрочных инвестиций, реструктуризацию и прекращенную деятельность.</w:t>
            </w:r>
            <w:r>
              <w:rPr>
                <w:rStyle w:val="apple-converted-space"/>
                <w:color w:val="626262"/>
                <w:sz w:val="20"/>
                <w:szCs w:val="20"/>
              </w:rPr>
              <w:t> </w:t>
            </w:r>
            <w:r>
              <w:rPr>
                <w:rStyle w:val="a5"/>
                <w:color w:val="626262"/>
                <w:sz w:val="20"/>
                <w:szCs w:val="20"/>
              </w:rPr>
              <w:t>«Объединение бизнеса»</w:t>
            </w:r>
            <w:r>
              <w:rPr>
                <w:color w:val="626262"/>
                <w:sz w:val="20"/>
                <w:szCs w:val="20"/>
              </w:rPr>
              <w:t>; и</w:t>
            </w:r>
          </w:p>
          <w:p w:rsidR="00D4347A" w:rsidRDefault="00D4347A" w:rsidP="00D4347A">
            <w:pPr>
              <w:pStyle w:val="a3"/>
              <w:jc w:val="both"/>
              <w:rPr>
                <w:color w:val="626262"/>
                <w:sz w:val="20"/>
                <w:szCs w:val="20"/>
              </w:rPr>
            </w:pPr>
            <w:r>
              <w:rPr>
                <w:color w:val="626262"/>
                <w:sz w:val="20"/>
                <w:szCs w:val="20"/>
              </w:rPr>
              <w:t>(j)            изменения в условных обязательствах и условных активах с последней годовой отчетной даты.</w:t>
            </w:r>
          </w:p>
          <w:p w:rsidR="00D4347A" w:rsidRDefault="00D4347A" w:rsidP="00D4347A">
            <w:pPr>
              <w:pStyle w:val="a3"/>
              <w:jc w:val="both"/>
              <w:rPr>
                <w:color w:val="626262"/>
                <w:sz w:val="20"/>
                <w:szCs w:val="20"/>
              </w:rPr>
            </w:pPr>
            <w:r>
              <w:rPr>
                <w:color w:val="626262"/>
                <w:sz w:val="20"/>
                <w:szCs w:val="20"/>
              </w:rPr>
              <w:t>17            Примеры раскрытий, которые требуются параграфом 16, представлены ниже. Отдельные Международные стандарты финансовой отчетности дают указания в отношении раскрытия информации для многих из следующих статей:</w:t>
            </w:r>
          </w:p>
          <w:p w:rsidR="00D4347A" w:rsidRDefault="00D4347A" w:rsidP="00D4347A">
            <w:pPr>
              <w:pStyle w:val="a3"/>
              <w:jc w:val="both"/>
              <w:rPr>
                <w:color w:val="626262"/>
                <w:sz w:val="20"/>
                <w:szCs w:val="20"/>
              </w:rPr>
            </w:pPr>
            <w:r>
              <w:rPr>
                <w:color w:val="626262"/>
                <w:sz w:val="20"/>
                <w:szCs w:val="20"/>
              </w:rPr>
              <w:t>(a)           списание запасов до чистой стоимости возможной продажи и реверсивная запись такого списания;</w:t>
            </w:r>
          </w:p>
          <w:p w:rsidR="00D4347A" w:rsidRDefault="00D4347A" w:rsidP="00D4347A">
            <w:pPr>
              <w:pStyle w:val="a3"/>
              <w:jc w:val="both"/>
              <w:rPr>
                <w:color w:val="626262"/>
                <w:sz w:val="20"/>
                <w:szCs w:val="20"/>
              </w:rPr>
            </w:pPr>
            <w:r>
              <w:rPr>
                <w:color w:val="626262"/>
                <w:sz w:val="20"/>
                <w:szCs w:val="20"/>
              </w:rPr>
              <w:t>(b)           признание убытка от обесценения основных средств, нематериальных активов или иных активов и реверсивная запись такого убытка от обесценения;</w:t>
            </w:r>
          </w:p>
          <w:p w:rsidR="00D4347A" w:rsidRDefault="00D4347A" w:rsidP="00D4347A">
            <w:pPr>
              <w:pStyle w:val="a3"/>
              <w:jc w:val="both"/>
              <w:rPr>
                <w:color w:val="626262"/>
                <w:sz w:val="20"/>
                <w:szCs w:val="20"/>
              </w:rPr>
            </w:pPr>
            <w:r>
              <w:rPr>
                <w:color w:val="626262"/>
                <w:sz w:val="20"/>
                <w:szCs w:val="20"/>
              </w:rPr>
              <w:t>(c)           реверсивная запись любых оценочных резервов по затратам на реструктуризацию;</w:t>
            </w:r>
          </w:p>
          <w:p w:rsidR="00D4347A" w:rsidRDefault="00D4347A" w:rsidP="00D4347A">
            <w:pPr>
              <w:pStyle w:val="a3"/>
              <w:jc w:val="both"/>
              <w:rPr>
                <w:color w:val="626262"/>
                <w:sz w:val="20"/>
                <w:szCs w:val="20"/>
              </w:rPr>
            </w:pPr>
            <w:r>
              <w:rPr>
                <w:color w:val="626262"/>
                <w:sz w:val="20"/>
                <w:szCs w:val="20"/>
              </w:rPr>
              <w:t>(d)           приобретения и выбытия объектов основных средств;</w:t>
            </w:r>
          </w:p>
          <w:p w:rsidR="00D4347A" w:rsidRDefault="00D4347A" w:rsidP="00D4347A">
            <w:pPr>
              <w:pStyle w:val="a3"/>
              <w:jc w:val="both"/>
              <w:rPr>
                <w:color w:val="626262"/>
                <w:sz w:val="20"/>
                <w:szCs w:val="20"/>
              </w:rPr>
            </w:pPr>
            <w:r>
              <w:rPr>
                <w:color w:val="626262"/>
                <w:sz w:val="20"/>
                <w:szCs w:val="20"/>
              </w:rPr>
              <w:lastRenderedPageBreak/>
              <w:t>(e)           обязательства по приобретению основных средств;</w:t>
            </w:r>
          </w:p>
          <w:p w:rsidR="00D4347A" w:rsidRDefault="00D4347A" w:rsidP="00D4347A">
            <w:pPr>
              <w:pStyle w:val="a3"/>
              <w:jc w:val="both"/>
              <w:rPr>
                <w:color w:val="626262"/>
                <w:sz w:val="20"/>
                <w:szCs w:val="20"/>
              </w:rPr>
            </w:pPr>
            <w:r>
              <w:rPr>
                <w:color w:val="626262"/>
                <w:sz w:val="20"/>
                <w:szCs w:val="20"/>
              </w:rPr>
              <w:t>(f)            урегулирование судебных споров;</w:t>
            </w:r>
          </w:p>
          <w:p w:rsidR="00D4347A" w:rsidRDefault="00D4347A" w:rsidP="00D4347A">
            <w:pPr>
              <w:pStyle w:val="a3"/>
              <w:jc w:val="both"/>
              <w:rPr>
                <w:color w:val="626262"/>
                <w:sz w:val="20"/>
                <w:szCs w:val="20"/>
              </w:rPr>
            </w:pPr>
            <w:r>
              <w:rPr>
                <w:color w:val="626262"/>
                <w:sz w:val="20"/>
                <w:szCs w:val="20"/>
              </w:rPr>
              <w:t>(g)           исправление ошибок предыдущего периода;</w:t>
            </w:r>
          </w:p>
          <w:p w:rsidR="00D4347A" w:rsidRDefault="00D4347A" w:rsidP="00D4347A">
            <w:pPr>
              <w:pStyle w:val="a3"/>
              <w:jc w:val="both"/>
              <w:rPr>
                <w:color w:val="626262"/>
                <w:sz w:val="20"/>
                <w:szCs w:val="20"/>
              </w:rPr>
            </w:pPr>
            <w:r>
              <w:rPr>
                <w:color w:val="626262"/>
                <w:sz w:val="20"/>
                <w:szCs w:val="20"/>
              </w:rPr>
              <w:t>(h)           [удалено]</w:t>
            </w:r>
          </w:p>
          <w:p w:rsidR="00D4347A" w:rsidRDefault="00D4347A" w:rsidP="00D4347A">
            <w:pPr>
              <w:pStyle w:val="a3"/>
              <w:jc w:val="both"/>
              <w:rPr>
                <w:color w:val="626262"/>
                <w:sz w:val="20"/>
                <w:szCs w:val="20"/>
              </w:rPr>
            </w:pPr>
            <w:r>
              <w:rPr>
                <w:color w:val="626262"/>
                <w:sz w:val="20"/>
                <w:szCs w:val="20"/>
              </w:rPr>
              <w:t>(i)            любое неисполнение обязательств по займам или нарушение кредитного соглашения, не исправленные до отчетной даты включительно; и</w:t>
            </w:r>
          </w:p>
          <w:p w:rsidR="00D4347A" w:rsidRDefault="00D4347A" w:rsidP="00D4347A">
            <w:pPr>
              <w:pStyle w:val="a3"/>
              <w:jc w:val="both"/>
              <w:rPr>
                <w:color w:val="626262"/>
                <w:sz w:val="20"/>
                <w:szCs w:val="20"/>
              </w:rPr>
            </w:pPr>
            <w:r>
              <w:rPr>
                <w:color w:val="626262"/>
                <w:sz w:val="20"/>
                <w:szCs w:val="20"/>
              </w:rPr>
              <w:t>(j)            операции между связанными сторонами.</w:t>
            </w:r>
          </w:p>
          <w:p w:rsidR="00D4347A" w:rsidRDefault="00D4347A" w:rsidP="00D4347A">
            <w:pPr>
              <w:pStyle w:val="a3"/>
              <w:jc w:val="both"/>
              <w:rPr>
                <w:color w:val="626262"/>
                <w:sz w:val="20"/>
                <w:szCs w:val="20"/>
              </w:rPr>
            </w:pPr>
            <w:r>
              <w:rPr>
                <w:color w:val="626262"/>
                <w:sz w:val="20"/>
                <w:szCs w:val="20"/>
              </w:rPr>
              <w:t>18            В прочих стандартах определяется информация, подлежащая раскрытию в финансовой отчетности. В данном контексте под финансовой отчетностью понимается полный комплект финансовой отчетности того типа, который обычно включается в годовой финансовый отчет, а также иногда включается в другие отчеты. За исключением требований, указанных в пункте 16(i), раскрытие информации в соответствии с требованиями других стандартов не требуется, если в промежуточный финансовый отчет предприятия включается только сокращенная финансовая отчетность и избранные примечания, а не полный комплект финансовой отчетности.</w:t>
            </w:r>
          </w:p>
          <w:p w:rsidR="00D4347A" w:rsidRDefault="00D4347A" w:rsidP="00D4347A">
            <w:pPr>
              <w:pStyle w:val="a3"/>
              <w:jc w:val="both"/>
              <w:rPr>
                <w:color w:val="626262"/>
                <w:sz w:val="20"/>
                <w:szCs w:val="20"/>
              </w:rPr>
            </w:pPr>
            <w:r>
              <w:rPr>
                <w:color w:val="626262"/>
                <w:sz w:val="20"/>
                <w:szCs w:val="20"/>
              </w:rPr>
              <w:t> </w:t>
            </w:r>
          </w:p>
          <w:p w:rsidR="00D4347A" w:rsidRDefault="00D4347A" w:rsidP="00D4347A">
            <w:pPr>
              <w:pStyle w:val="a3"/>
              <w:jc w:val="both"/>
              <w:rPr>
                <w:color w:val="626262"/>
                <w:sz w:val="20"/>
                <w:szCs w:val="20"/>
              </w:rPr>
            </w:pPr>
            <w:r>
              <w:rPr>
                <w:rStyle w:val="a4"/>
                <w:color w:val="626262"/>
                <w:sz w:val="20"/>
                <w:szCs w:val="20"/>
              </w:rPr>
              <w:t>Раскрытие информации о соответствии МСФО (IFRS)</w:t>
            </w:r>
          </w:p>
          <w:p w:rsidR="00D4347A" w:rsidRDefault="00D4347A" w:rsidP="00D4347A">
            <w:pPr>
              <w:pStyle w:val="a3"/>
              <w:jc w:val="both"/>
              <w:rPr>
                <w:color w:val="626262"/>
                <w:sz w:val="20"/>
                <w:szCs w:val="20"/>
              </w:rPr>
            </w:pPr>
            <w:r>
              <w:rPr>
                <w:color w:val="626262"/>
                <w:sz w:val="20"/>
                <w:szCs w:val="20"/>
              </w:rPr>
              <w:t>19           Если промежуточная финансовая отчетность предприятия соответствует настоящему стандарту, то необходимо раскрыть этот факт. Не допускается описание промежуточной финансовой отчетности как соответствующей Международным стандартам финансовой отчетности (IFRS), если она не соответствует всем требованиям стандартов.</w:t>
            </w:r>
          </w:p>
          <w:p w:rsidR="00D4347A" w:rsidRDefault="00D4347A" w:rsidP="00D4347A">
            <w:pPr>
              <w:pStyle w:val="a3"/>
              <w:jc w:val="both"/>
              <w:rPr>
                <w:color w:val="626262"/>
                <w:sz w:val="20"/>
                <w:szCs w:val="20"/>
              </w:rPr>
            </w:pPr>
            <w:r>
              <w:rPr>
                <w:color w:val="626262"/>
                <w:sz w:val="20"/>
                <w:szCs w:val="20"/>
              </w:rPr>
              <w:t> </w:t>
            </w:r>
          </w:p>
          <w:p w:rsidR="00D4347A" w:rsidRDefault="00D4347A" w:rsidP="00D4347A">
            <w:pPr>
              <w:pStyle w:val="a3"/>
              <w:jc w:val="both"/>
              <w:rPr>
                <w:color w:val="626262"/>
                <w:sz w:val="20"/>
                <w:szCs w:val="20"/>
              </w:rPr>
            </w:pPr>
            <w:r>
              <w:rPr>
                <w:rStyle w:val="a4"/>
                <w:color w:val="626262"/>
                <w:sz w:val="20"/>
                <w:szCs w:val="20"/>
              </w:rPr>
              <w:t>Периоды, за которые должна представляться промежуточная финансовая отчетность</w:t>
            </w:r>
          </w:p>
          <w:p w:rsidR="00D4347A" w:rsidRDefault="00D4347A" w:rsidP="00D4347A">
            <w:pPr>
              <w:pStyle w:val="a3"/>
              <w:jc w:val="both"/>
              <w:rPr>
                <w:color w:val="626262"/>
                <w:sz w:val="20"/>
                <w:szCs w:val="20"/>
              </w:rPr>
            </w:pPr>
            <w:r>
              <w:rPr>
                <w:color w:val="626262"/>
                <w:sz w:val="20"/>
                <w:szCs w:val="20"/>
              </w:rPr>
              <w:t>20           Промежуточные отчеты включают промежуточную финансовую отчетность (сокращенную или полную) за следующие периоды:</w:t>
            </w:r>
          </w:p>
          <w:p w:rsidR="00D4347A" w:rsidRDefault="00D4347A" w:rsidP="00D4347A">
            <w:pPr>
              <w:pStyle w:val="a3"/>
              <w:jc w:val="both"/>
              <w:rPr>
                <w:color w:val="626262"/>
                <w:sz w:val="20"/>
                <w:szCs w:val="20"/>
              </w:rPr>
            </w:pPr>
            <w:r>
              <w:rPr>
                <w:color w:val="626262"/>
                <w:sz w:val="20"/>
                <w:szCs w:val="20"/>
              </w:rPr>
              <w:t>(a)           баланс на конец текущего промежуточного периода и сравнительный баланс на конец непосредственно предшествующего финансового года;</w:t>
            </w:r>
          </w:p>
          <w:p w:rsidR="00D4347A" w:rsidRDefault="00D4347A" w:rsidP="00D4347A">
            <w:pPr>
              <w:pStyle w:val="a3"/>
              <w:jc w:val="both"/>
              <w:rPr>
                <w:color w:val="626262"/>
                <w:sz w:val="20"/>
                <w:szCs w:val="20"/>
              </w:rPr>
            </w:pPr>
            <w:r>
              <w:rPr>
                <w:color w:val="626262"/>
                <w:sz w:val="20"/>
                <w:szCs w:val="20"/>
              </w:rPr>
              <w:t>(b)           отчеты о прибылях и убытках за текущий промежуточный период и кумулятивный за период с начала текущего финансового года до отчетной даты со сравнительными отчетами о прибылях и убытках за сопоставимые промежуточные периоды (текущий и с начала года до отчетной даты) непосредственно предшествующего финансового года;</w:t>
            </w:r>
          </w:p>
          <w:p w:rsidR="00D4347A" w:rsidRDefault="00D4347A" w:rsidP="00D4347A">
            <w:pPr>
              <w:pStyle w:val="a3"/>
              <w:jc w:val="both"/>
              <w:rPr>
                <w:color w:val="626262"/>
                <w:sz w:val="20"/>
                <w:szCs w:val="20"/>
              </w:rPr>
            </w:pPr>
            <w:r>
              <w:rPr>
                <w:color w:val="626262"/>
                <w:sz w:val="20"/>
                <w:szCs w:val="20"/>
              </w:rPr>
              <w:t>(c)           отчет, отражающий изменения в собственном капитале кумулятивно с начала текущего финансового года до отчетной даты со сравнительным отчетом за сопоставимый период с начала года до отчетной даты непосредственно предшествующего финансового года; и</w:t>
            </w:r>
          </w:p>
          <w:p w:rsidR="00D4347A" w:rsidRDefault="00D4347A" w:rsidP="00D4347A">
            <w:pPr>
              <w:pStyle w:val="a3"/>
              <w:jc w:val="both"/>
              <w:rPr>
                <w:color w:val="626262"/>
                <w:sz w:val="20"/>
                <w:szCs w:val="20"/>
              </w:rPr>
            </w:pPr>
            <w:r>
              <w:rPr>
                <w:color w:val="626262"/>
                <w:sz w:val="20"/>
                <w:szCs w:val="20"/>
              </w:rPr>
              <w:t>(d)           отчет о движении денежных средств кумулятивно за период с начала текущего финансового года до отчетной даты со сравнительным отчетом за сопоставимый период с начала года до отчетной даты непосредственно предшествующего финансового года.</w:t>
            </w:r>
          </w:p>
          <w:p w:rsidR="00D4347A" w:rsidRDefault="00D4347A" w:rsidP="00D4347A">
            <w:pPr>
              <w:pStyle w:val="a3"/>
              <w:jc w:val="both"/>
              <w:rPr>
                <w:color w:val="626262"/>
                <w:sz w:val="20"/>
                <w:szCs w:val="20"/>
              </w:rPr>
            </w:pPr>
            <w:r>
              <w:rPr>
                <w:color w:val="626262"/>
                <w:sz w:val="20"/>
                <w:szCs w:val="20"/>
              </w:rPr>
              <w:t xml:space="preserve">21            Для предприятия, деятельность которого носит ярко выраженный сезонный характер, может быть полезна финансовая информация за двенадцать месяцев, заканчивающихся на дату промежуточной отчетности, а также сравнительная информация за предыдущий двенадцатимесячный период. Соответственно представление такой информации предприятиями, чья деятельность носит ярко выраженный сезонный характер, в дополнение к информации, предусмотренной в предыдущем пункте, </w:t>
            </w:r>
            <w:r>
              <w:rPr>
                <w:color w:val="626262"/>
                <w:sz w:val="20"/>
                <w:szCs w:val="20"/>
              </w:rPr>
              <w:lastRenderedPageBreak/>
              <w:t>приветствуется.</w:t>
            </w:r>
          </w:p>
          <w:p w:rsidR="00D4347A" w:rsidRDefault="00D4347A" w:rsidP="00D4347A">
            <w:pPr>
              <w:pStyle w:val="a3"/>
              <w:jc w:val="both"/>
              <w:rPr>
                <w:color w:val="626262"/>
                <w:sz w:val="20"/>
                <w:szCs w:val="20"/>
              </w:rPr>
            </w:pPr>
            <w:r>
              <w:rPr>
                <w:color w:val="626262"/>
                <w:sz w:val="20"/>
                <w:szCs w:val="20"/>
              </w:rPr>
              <w:t>22            В приложении A проиллюстрировано, какие периоды должны быть представлены предприятием, составляющим отчетность раз в полгода, и предприятием, составляющим ежеквартальную отчетность.</w:t>
            </w:r>
          </w:p>
          <w:p w:rsidR="00D4347A" w:rsidRDefault="00D4347A" w:rsidP="00D4347A">
            <w:pPr>
              <w:pStyle w:val="a3"/>
              <w:jc w:val="both"/>
              <w:rPr>
                <w:color w:val="626262"/>
                <w:sz w:val="20"/>
                <w:szCs w:val="20"/>
              </w:rPr>
            </w:pPr>
            <w:r>
              <w:rPr>
                <w:color w:val="626262"/>
                <w:sz w:val="20"/>
                <w:szCs w:val="20"/>
              </w:rPr>
              <w:t> </w:t>
            </w:r>
          </w:p>
          <w:p w:rsidR="00D4347A" w:rsidRDefault="00D4347A" w:rsidP="00D4347A">
            <w:pPr>
              <w:pStyle w:val="a3"/>
              <w:jc w:val="both"/>
              <w:rPr>
                <w:color w:val="626262"/>
                <w:sz w:val="20"/>
                <w:szCs w:val="20"/>
              </w:rPr>
            </w:pPr>
            <w:r>
              <w:rPr>
                <w:rStyle w:val="a4"/>
                <w:color w:val="626262"/>
                <w:sz w:val="20"/>
                <w:szCs w:val="20"/>
              </w:rPr>
              <w:t>Существенность</w:t>
            </w:r>
          </w:p>
          <w:p w:rsidR="00D4347A" w:rsidRDefault="00D4347A" w:rsidP="00D4347A">
            <w:pPr>
              <w:pStyle w:val="a3"/>
              <w:jc w:val="both"/>
              <w:rPr>
                <w:color w:val="626262"/>
                <w:sz w:val="20"/>
                <w:szCs w:val="20"/>
              </w:rPr>
            </w:pPr>
            <w:r>
              <w:rPr>
                <w:color w:val="626262"/>
                <w:sz w:val="20"/>
                <w:szCs w:val="20"/>
              </w:rPr>
              <w:t>23           При решении вопроса о том, как признавать, измерять, классифицировать и раскрывать статью в целях промежуточной финансовой отчетности, необходимо оценить существенность финансовых данных промежуточного периода. При оценке существенности следует признать, что измерение данных за промежуточный период может зависеть от расчетных оценок в большей степени, нежели измерение годовых финансовых данных.</w:t>
            </w:r>
          </w:p>
          <w:p w:rsidR="00D4347A" w:rsidRDefault="00D4347A" w:rsidP="00D4347A">
            <w:pPr>
              <w:pStyle w:val="a3"/>
              <w:jc w:val="both"/>
              <w:rPr>
                <w:color w:val="626262"/>
                <w:sz w:val="20"/>
                <w:szCs w:val="20"/>
              </w:rPr>
            </w:pPr>
            <w:r>
              <w:rPr>
                <w:color w:val="626262"/>
                <w:sz w:val="20"/>
                <w:szCs w:val="20"/>
              </w:rPr>
              <w:t>24            МСФО (IAS) 1</w:t>
            </w:r>
            <w:r>
              <w:rPr>
                <w:rStyle w:val="apple-converted-space"/>
                <w:color w:val="626262"/>
                <w:sz w:val="20"/>
                <w:szCs w:val="20"/>
              </w:rPr>
              <w:t> </w:t>
            </w:r>
            <w:r>
              <w:rPr>
                <w:rStyle w:val="a5"/>
                <w:color w:val="626262"/>
                <w:sz w:val="20"/>
                <w:szCs w:val="20"/>
              </w:rPr>
              <w:t>«Представление финансовой отчетности»</w:t>
            </w:r>
            <w:r>
              <w:rPr>
                <w:rStyle w:val="apple-converted-space"/>
                <w:color w:val="626262"/>
                <w:sz w:val="20"/>
                <w:szCs w:val="20"/>
              </w:rPr>
              <w:t> </w:t>
            </w:r>
            <w:r>
              <w:rPr>
                <w:color w:val="626262"/>
                <w:sz w:val="20"/>
                <w:szCs w:val="20"/>
              </w:rPr>
              <w:t>и МСФО (IAS) 8</w:t>
            </w:r>
            <w:r>
              <w:rPr>
                <w:rStyle w:val="apple-converted-space"/>
                <w:color w:val="626262"/>
                <w:sz w:val="20"/>
                <w:szCs w:val="20"/>
              </w:rPr>
              <w:t> </w:t>
            </w:r>
            <w:r>
              <w:rPr>
                <w:rStyle w:val="a5"/>
                <w:color w:val="626262"/>
                <w:sz w:val="20"/>
                <w:szCs w:val="20"/>
              </w:rPr>
              <w:t>«Учетная политика, изменения в бухгалтерских оценках и ошибки»</w:t>
            </w:r>
            <w:r>
              <w:rPr>
                <w:rStyle w:val="apple-converted-space"/>
                <w:color w:val="626262"/>
                <w:sz w:val="20"/>
                <w:szCs w:val="20"/>
              </w:rPr>
              <w:t> </w:t>
            </w:r>
            <w:r>
              <w:rPr>
                <w:color w:val="626262"/>
                <w:sz w:val="20"/>
                <w:szCs w:val="20"/>
              </w:rPr>
              <w:t>определяют статью как существенную, если ее отсутствие или искажение может повлиять на экономические решения пользователей финансовой отчетности. МСФО (IAS) 1 требует отдельного раскрытия информации по существенным статьям, включая (например) прекращенную деятельность, а МСФО (IAS) 8 требует раскрытия информации об изменениях в бухгалтерских оценках, ошибках и изменениях учетной политики. Эти два стандарта не содержат количественных указаний в отношении существенности.</w:t>
            </w:r>
          </w:p>
          <w:p w:rsidR="00D4347A" w:rsidRDefault="00D4347A" w:rsidP="00D4347A">
            <w:pPr>
              <w:pStyle w:val="a3"/>
              <w:jc w:val="both"/>
              <w:rPr>
                <w:color w:val="626262"/>
                <w:sz w:val="20"/>
                <w:szCs w:val="20"/>
              </w:rPr>
            </w:pPr>
            <w:r>
              <w:rPr>
                <w:color w:val="626262"/>
                <w:sz w:val="20"/>
                <w:szCs w:val="20"/>
              </w:rPr>
              <w:t>25            В то время как при оценке существенности всегда требуется применение суждения, настоящий стандарт основывает решение о признании и раскрытии информации, исходя из данных за промежуточный период для обеспечения понятности промежуточных данных. Так, например, необычные статьи, изменения в учетной политике или в расчетных оценках и ошибки признаются и раскрываются при соблюдении критерия существенности применительно к данным за промежуточный период, для того чтобы избежать вводящих в заблуждение выводов, которые могут следовать из отсутствия информации. Первоочередная задача заключается в том, чтобы обеспечить включение в промежуточный финансовый отчет всего объема информации, которая является уместной для понимания финансового положения и результатов деятельности предприятия в течение промежуточного периода.</w:t>
            </w:r>
          </w:p>
          <w:p w:rsidR="00D4347A" w:rsidRDefault="00D4347A" w:rsidP="00D4347A">
            <w:pPr>
              <w:pStyle w:val="a3"/>
              <w:jc w:val="both"/>
              <w:rPr>
                <w:color w:val="626262"/>
                <w:sz w:val="20"/>
                <w:szCs w:val="20"/>
              </w:rPr>
            </w:pPr>
            <w:r>
              <w:rPr>
                <w:color w:val="626262"/>
                <w:sz w:val="20"/>
                <w:szCs w:val="20"/>
              </w:rPr>
              <w:t> </w:t>
            </w:r>
          </w:p>
          <w:p w:rsidR="00D4347A" w:rsidRDefault="00D4347A" w:rsidP="00D4347A">
            <w:pPr>
              <w:pStyle w:val="a3"/>
              <w:jc w:val="both"/>
              <w:rPr>
                <w:color w:val="626262"/>
                <w:sz w:val="20"/>
                <w:szCs w:val="20"/>
              </w:rPr>
            </w:pPr>
            <w:r>
              <w:rPr>
                <w:rStyle w:val="a4"/>
                <w:color w:val="626262"/>
                <w:sz w:val="20"/>
                <w:szCs w:val="20"/>
              </w:rPr>
              <w:t>Раскрытие информации в годовой финансовой отчетности</w:t>
            </w:r>
          </w:p>
          <w:p w:rsidR="00D4347A" w:rsidRDefault="00D4347A" w:rsidP="00D4347A">
            <w:pPr>
              <w:pStyle w:val="a3"/>
              <w:jc w:val="both"/>
              <w:rPr>
                <w:color w:val="626262"/>
                <w:sz w:val="20"/>
                <w:szCs w:val="20"/>
              </w:rPr>
            </w:pPr>
            <w:r>
              <w:rPr>
                <w:color w:val="626262"/>
                <w:sz w:val="20"/>
                <w:szCs w:val="20"/>
              </w:rPr>
              <w:t>26           Если расчетная оценка суммы, отраженной в промежуточной отчетности, существенно изменилась в последнем промежуточном периоде финансового года, а отдельная финансовая отчетность за этот окончательный промежуточный период не публикуется, то характер и сумма такого изменения в расчетной оценке должны раскрываться в примечании к годовой финансовой отчетности за этот финансовый год.</w:t>
            </w:r>
          </w:p>
          <w:p w:rsidR="00D4347A" w:rsidRDefault="00D4347A" w:rsidP="00D4347A">
            <w:pPr>
              <w:pStyle w:val="a3"/>
              <w:jc w:val="both"/>
              <w:rPr>
                <w:color w:val="626262"/>
                <w:sz w:val="20"/>
                <w:szCs w:val="20"/>
              </w:rPr>
            </w:pPr>
            <w:r>
              <w:rPr>
                <w:color w:val="626262"/>
                <w:sz w:val="20"/>
                <w:szCs w:val="20"/>
              </w:rPr>
              <w:t>27            Согласно МСФО (IAS) 8 требуется раскрытие информации о характере и (если это практически возможно) сумме изменения в расчетной оценке, которое либо оказывает существенное воздействие в текущем периоде, либо, как ожидается, окажет существенное воздействие в последующих периодах. Пункт 16(d) настоящего стандарта требует аналогичного раскрытия информации в промежуточном финансовом отчете. Примеры включают изменения в расчетной оценке в последнем промежуточном периоде, относящиеся к списанию запасов, реструктуризации или к убыткам от обесценения, которые были отражены в более раннем промежуточном периоде финансового года. Раскрытие информации согласно требованиям предыдущего пункта соответствует требованию МСФО (IAS) 8 и должно иметь более узкую сферу применения, относящуюся только к изменению в расчетной оценке. Предприятие не обязано включать дополнительную финансовую информацию за промежуточный период в свою годовую финансовую отчетность.</w:t>
            </w:r>
          </w:p>
          <w:p w:rsidR="00D4347A" w:rsidRDefault="00D4347A" w:rsidP="00D4347A">
            <w:pPr>
              <w:pStyle w:val="a3"/>
              <w:jc w:val="both"/>
              <w:rPr>
                <w:color w:val="626262"/>
                <w:sz w:val="20"/>
                <w:szCs w:val="20"/>
              </w:rPr>
            </w:pPr>
            <w:r>
              <w:rPr>
                <w:color w:val="626262"/>
                <w:sz w:val="20"/>
                <w:szCs w:val="20"/>
              </w:rPr>
              <w:t> </w:t>
            </w:r>
          </w:p>
          <w:p w:rsidR="00D4347A" w:rsidRDefault="00D4347A" w:rsidP="00D4347A">
            <w:pPr>
              <w:pStyle w:val="a3"/>
              <w:jc w:val="both"/>
              <w:rPr>
                <w:color w:val="626262"/>
                <w:sz w:val="20"/>
                <w:szCs w:val="20"/>
              </w:rPr>
            </w:pPr>
            <w:r>
              <w:rPr>
                <w:rStyle w:val="a4"/>
                <w:color w:val="626262"/>
                <w:sz w:val="20"/>
                <w:szCs w:val="20"/>
              </w:rPr>
              <w:t>Признание и измерение</w:t>
            </w:r>
          </w:p>
          <w:p w:rsidR="00D4347A" w:rsidRDefault="00D4347A" w:rsidP="00D4347A">
            <w:pPr>
              <w:pStyle w:val="a3"/>
              <w:jc w:val="both"/>
              <w:rPr>
                <w:color w:val="626262"/>
                <w:sz w:val="20"/>
                <w:szCs w:val="20"/>
              </w:rPr>
            </w:pPr>
            <w:r>
              <w:rPr>
                <w:rStyle w:val="a4"/>
                <w:color w:val="626262"/>
                <w:sz w:val="20"/>
                <w:szCs w:val="20"/>
              </w:rPr>
              <w:t>Та же учетная политика, что и в годовой отчетности</w:t>
            </w:r>
          </w:p>
          <w:p w:rsidR="00D4347A" w:rsidRDefault="00D4347A" w:rsidP="00D4347A">
            <w:pPr>
              <w:pStyle w:val="a3"/>
              <w:jc w:val="both"/>
              <w:rPr>
                <w:color w:val="626262"/>
                <w:sz w:val="20"/>
                <w:szCs w:val="20"/>
              </w:rPr>
            </w:pPr>
            <w:r>
              <w:rPr>
                <w:color w:val="626262"/>
                <w:sz w:val="20"/>
                <w:szCs w:val="20"/>
              </w:rPr>
              <w:lastRenderedPageBreak/>
              <w:t>28           Предприятие применяет в своей промежуточной финансовой отчетности те же принципы учетной политики, что и принципы, использованные в годовой финансовой отчетности, за исключением изменений в учетной политике, внесенных после даты последней годовой финансовой отчетности, которые должны быть отражены в следующей годовой финансовой отчетности. При этом частота представления отчетности предприятия (ежегодно, раз в полгода или ежеквартально) не оказывает воздействия на результаты его деятельности за год. Для достижения этой цели измерение в целях промежуточной отчетности производится за период с начала года до отчетной даты.</w:t>
            </w:r>
          </w:p>
          <w:p w:rsidR="00D4347A" w:rsidRDefault="00D4347A" w:rsidP="00D4347A">
            <w:pPr>
              <w:pStyle w:val="a3"/>
              <w:jc w:val="both"/>
              <w:rPr>
                <w:color w:val="626262"/>
                <w:sz w:val="20"/>
                <w:szCs w:val="20"/>
              </w:rPr>
            </w:pPr>
            <w:r>
              <w:rPr>
                <w:color w:val="626262"/>
                <w:sz w:val="20"/>
                <w:szCs w:val="20"/>
              </w:rPr>
              <w:t>29            Может показаться, что предъявляемое предприятию требование применять к своей промежуточной финансовой отчетности те же принципы учетной политики, что и к годовой отчетности, предполагает, что относящиеся к промежуточному периоду измерения выполняются так, как если бы каждый промежуточный период существовал отдельно как независимый отчетный период. Однако предусматривая, что частота представления отчетности предприятием не оказывает воздействия на измерение результатов его деятельности за год, пункт 28 признает, что промежуточный период является частью более продолжительного финансового года. Измерение за период с начала года до отчетной даты может предполагать изменение в расчетных оценках сумм, отраженных в предыдущих промежуточных периодах текущего финансового года. Однако принципы признания активов, обязательств, доходов и расходов за промежуточный период являются такими же, что и в отношении годовой финансовой отчетности.</w:t>
            </w:r>
          </w:p>
          <w:p w:rsidR="00D4347A" w:rsidRDefault="00D4347A" w:rsidP="00D4347A">
            <w:pPr>
              <w:pStyle w:val="a3"/>
              <w:jc w:val="both"/>
              <w:rPr>
                <w:color w:val="626262"/>
                <w:sz w:val="20"/>
                <w:szCs w:val="20"/>
              </w:rPr>
            </w:pPr>
            <w:r>
              <w:rPr>
                <w:color w:val="626262"/>
                <w:sz w:val="20"/>
                <w:szCs w:val="20"/>
              </w:rPr>
              <w:t>30            Ниже приводятся конкретные примеры:</w:t>
            </w:r>
          </w:p>
          <w:p w:rsidR="00D4347A" w:rsidRDefault="00D4347A" w:rsidP="00D4347A">
            <w:pPr>
              <w:pStyle w:val="a3"/>
              <w:jc w:val="both"/>
              <w:rPr>
                <w:color w:val="626262"/>
                <w:sz w:val="20"/>
                <w:szCs w:val="20"/>
              </w:rPr>
            </w:pPr>
            <w:r>
              <w:rPr>
                <w:color w:val="626262"/>
                <w:sz w:val="20"/>
                <w:szCs w:val="20"/>
              </w:rPr>
              <w:t>(a)           принципы признания и измерения убытков от списания запасов, реструктуризации или обесценения в промежуточном периоде соответствуют тем принципам, которые применяло бы предприятие, если бы оно готовило только годовую финансовую отчетность. Однако если такие статьи признаются и измеряются в одном промежуточном периоде, а в последующем промежуточном периоде этого финансового года расчетная оценка меняется, то первоначальная расчетная оценка в последующем промежуточном периоде должна быть скорректирована либо путем начисления дополнительной суммы убытка, либо путем реверсивной записи ранее признанной суммы;</w:t>
            </w:r>
          </w:p>
          <w:p w:rsidR="00D4347A" w:rsidRDefault="00D4347A" w:rsidP="00D4347A">
            <w:pPr>
              <w:pStyle w:val="a3"/>
              <w:jc w:val="both"/>
              <w:rPr>
                <w:color w:val="626262"/>
                <w:sz w:val="20"/>
                <w:szCs w:val="20"/>
              </w:rPr>
            </w:pPr>
            <w:r>
              <w:rPr>
                <w:color w:val="626262"/>
                <w:sz w:val="20"/>
                <w:szCs w:val="20"/>
              </w:rPr>
              <w:t>(b)           затраты, которые на конец промежуточного периода не соответствуют определению актива, не капитализируются в балансе ни на период ожидания будущей информации в отношении того, будут ли они соответствовать определению актива, ни для выравнивания показателей прибыльности по промежуточным периодам в течение финансового года; и</w:t>
            </w:r>
          </w:p>
          <w:p w:rsidR="00D4347A" w:rsidRDefault="00D4347A" w:rsidP="00D4347A">
            <w:pPr>
              <w:pStyle w:val="a3"/>
              <w:jc w:val="both"/>
              <w:rPr>
                <w:color w:val="626262"/>
                <w:sz w:val="20"/>
                <w:szCs w:val="20"/>
              </w:rPr>
            </w:pPr>
            <w:r>
              <w:rPr>
                <w:color w:val="626262"/>
                <w:sz w:val="20"/>
                <w:szCs w:val="20"/>
              </w:rPr>
              <w:t>(c)           расходы по налогу на прибыль признаются в каждом промежуточном периоде на основании наилучшей расчетной оценки средневзвешенной годовой ставки налога на прибыль, ожидаемой за полный финансовый год. Суммы, начисленные по расходам по налогу на прибыль в одном промежуточном периоде, возможно, потребуют корректировки в последующем промежуточном периоде того же финансового года, если изменится расчетная оценка годовой ставки налога на прибыль.</w:t>
            </w:r>
          </w:p>
          <w:p w:rsidR="00D4347A" w:rsidRDefault="00D4347A" w:rsidP="00D4347A">
            <w:pPr>
              <w:pStyle w:val="a3"/>
              <w:jc w:val="both"/>
              <w:rPr>
                <w:color w:val="626262"/>
                <w:sz w:val="20"/>
                <w:szCs w:val="20"/>
              </w:rPr>
            </w:pPr>
            <w:r>
              <w:rPr>
                <w:color w:val="626262"/>
                <w:sz w:val="20"/>
                <w:szCs w:val="20"/>
              </w:rPr>
              <w:t>31            В соответствии</w:t>
            </w:r>
            <w:r>
              <w:rPr>
                <w:rStyle w:val="apple-converted-space"/>
                <w:color w:val="626262"/>
                <w:sz w:val="20"/>
                <w:szCs w:val="20"/>
              </w:rPr>
              <w:t> </w:t>
            </w:r>
            <w:r>
              <w:rPr>
                <w:rStyle w:val="a5"/>
                <w:color w:val="626262"/>
                <w:sz w:val="20"/>
                <w:szCs w:val="20"/>
              </w:rPr>
              <w:t>с «Концепцией подготовки и представления финансовой отчетности»</w:t>
            </w:r>
            <w:r>
              <w:rPr>
                <w:rStyle w:val="apple-converted-space"/>
                <w:color w:val="626262"/>
                <w:sz w:val="20"/>
                <w:szCs w:val="20"/>
              </w:rPr>
              <w:t> </w:t>
            </w:r>
            <w:r>
              <w:rPr>
                <w:color w:val="626262"/>
                <w:sz w:val="20"/>
                <w:szCs w:val="20"/>
              </w:rPr>
              <w:t>(далее -</w:t>
            </w:r>
            <w:r>
              <w:rPr>
                <w:rStyle w:val="a5"/>
                <w:color w:val="626262"/>
                <w:sz w:val="20"/>
                <w:szCs w:val="20"/>
              </w:rPr>
              <w:t>«Концепция»</w:t>
            </w:r>
            <w:r>
              <w:rPr>
                <w:color w:val="626262"/>
                <w:sz w:val="20"/>
                <w:szCs w:val="20"/>
              </w:rPr>
              <w:t>) признание является «процессом включения в баланс или в отчет о прибылях и убытках статьи, соответствующей определению их элемента и удовлетворяющей критериям признания». Определения активов, обязательств, доходов и расходов являются основополагающими для признания как на дату годовой финансовой отчетности, так и на дату промежуточной финансовой отчетности.</w:t>
            </w:r>
          </w:p>
          <w:p w:rsidR="00D4347A" w:rsidRDefault="00D4347A" w:rsidP="00D4347A">
            <w:pPr>
              <w:pStyle w:val="a3"/>
              <w:jc w:val="both"/>
              <w:rPr>
                <w:color w:val="626262"/>
                <w:sz w:val="20"/>
                <w:szCs w:val="20"/>
              </w:rPr>
            </w:pPr>
            <w:r>
              <w:rPr>
                <w:color w:val="626262"/>
                <w:sz w:val="20"/>
                <w:szCs w:val="20"/>
              </w:rPr>
              <w:t>32            В отношении активов на промежуточные даты применяются те же тесты будущих экономических выгод, что и на конец финансового года предприятия. Затраты, которые по своему характеру не могут быть отнесены к активам на конец финансового года, также не могут быть отнесены к ним и на промежуточные даты. Аналогичным образом обязательство на промежуточную отчетную дату должно представлять собой существующее обязательство как на эту дату, так и на годовую отчетную дату.</w:t>
            </w:r>
          </w:p>
          <w:p w:rsidR="00D4347A" w:rsidRDefault="00D4347A" w:rsidP="00D4347A">
            <w:pPr>
              <w:pStyle w:val="a3"/>
              <w:jc w:val="both"/>
              <w:rPr>
                <w:color w:val="626262"/>
                <w:sz w:val="20"/>
                <w:szCs w:val="20"/>
              </w:rPr>
            </w:pPr>
            <w:r>
              <w:rPr>
                <w:color w:val="626262"/>
                <w:sz w:val="20"/>
                <w:szCs w:val="20"/>
              </w:rPr>
              <w:t>33            Исключительно важной характеристикой доходов (выручки) и расходов является то, что соответствующие притоки и оттоки активов и обязательств уже имели место. Если эти притоки или оттоки уже имели место, то соответствующие доходы и расходы признаются. В противном случае они не признаются. В</w:t>
            </w:r>
            <w:r>
              <w:rPr>
                <w:rStyle w:val="apple-converted-space"/>
                <w:color w:val="626262"/>
                <w:sz w:val="20"/>
                <w:szCs w:val="20"/>
              </w:rPr>
              <w:t> </w:t>
            </w:r>
            <w:r>
              <w:rPr>
                <w:rStyle w:val="a5"/>
                <w:color w:val="626262"/>
                <w:sz w:val="20"/>
                <w:szCs w:val="20"/>
              </w:rPr>
              <w:t>«Концепции»</w:t>
            </w:r>
            <w:r>
              <w:rPr>
                <w:rStyle w:val="apple-converted-space"/>
                <w:color w:val="626262"/>
                <w:sz w:val="20"/>
                <w:szCs w:val="20"/>
              </w:rPr>
              <w:t> </w:t>
            </w:r>
            <w:r>
              <w:rPr>
                <w:color w:val="626262"/>
                <w:sz w:val="20"/>
                <w:szCs w:val="20"/>
              </w:rPr>
              <w:t>сказано, что «расходы признаются в отчете о прибылях и убытках тогда, когда возникло снижение будущих экономических выгод, относящихся к уменьшению актива или увеличению обязательства, которое может быть надежно измерено ...</w:t>
            </w:r>
            <w:r>
              <w:rPr>
                <w:rStyle w:val="apple-converted-space"/>
                <w:color w:val="626262"/>
                <w:sz w:val="20"/>
                <w:szCs w:val="20"/>
              </w:rPr>
              <w:t> </w:t>
            </w:r>
            <w:r>
              <w:rPr>
                <w:rStyle w:val="a5"/>
                <w:color w:val="626262"/>
                <w:sz w:val="20"/>
                <w:szCs w:val="20"/>
              </w:rPr>
              <w:t>«Концепция»</w:t>
            </w:r>
            <w:r>
              <w:rPr>
                <w:rStyle w:val="apple-converted-space"/>
                <w:color w:val="626262"/>
                <w:sz w:val="20"/>
                <w:szCs w:val="20"/>
              </w:rPr>
              <w:t> </w:t>
            </w:r>
            <w:r>
              <w:rPr>
                <w:color w:val="626262"/>
                <w:sz w:val="20"/>
                <w:szCs w:val="20"/>
              </w:rPr>
              <w:t>не допускает признания в балансе статей, которые не соответствуют определению активов или обязательств».</w:t>
            </w:r>
          </w:p>
          <w:p w:rsidR="00D4347A" w:rsidRDefault="00D4347A" w:rsidP="00D4347A">
            <w:pPr>
              <w:pStyle w:val="a3"/>
              <w:jc w:val="both"/>
              <w:rPr>
                <w:color w:val="626262"/>
                <w:sz w:val="20"/>
                <w:szCs w:val="20"/>
              </w:rPr>
            </w:pPr>
            <w:r>
              <w:rPr>
                <w:color w:val="626262"/>
                <w:sz w:val="20"/>
                <w:szCs w:val="20"/>
              </w:rPr>
              <w:t xml:space="preserve">34            При измерении активов, обязательств, доходов, расходов и потоков денежных средств, </w:t>
            </w:r>
            <w:r>
              <w:rPr>
                <w:color w:val="626262"/>
                <w:sz w:val="20"/>
                <w:szCs w:val="20"/>
              </w:rPr>
              <w:lastRenderedPageBreak/>
              <w:t>отраженных в финансовой отчетности, предприятие, представляющее отчетность только на ежегодной основе, в состоянии учесть информацию, которая становится доступной в течение всего финансового года. Измерение статей фактически представляет собой измерение за период с начала года до отчетной даты.</w:t>
            </w:r>
          </w:p>
          <w:p w:rsidR="00D4347A" w:rsidRDefault="00D4347A" w:rsidP="00D4347A">
            <w:pPr>
              <w:pStyle w:val="a3"/>
              <w:jc w:val="both"/>
              <w:rPr>
                <w:color w:val="626262"/>
                <w:sz w:val="20"/>
                <w:szCs w:val="20"/>
              </w:rPr>
            </w:pPr>
            <w:r>
              <w:rPr>
                <w:color w:val="626262"/>
                <w:sz w:val="20"/>
                <w:szCs w:val="20"/>
              </w:rPr>
              <w:t>35            Предприятие, представляющее отчетность каждые полгода, использует информацию, имеющуюся к середине года или вскоре после этого, при измерении статей в своей финансовой отчетности за первое полугодие, и информацию, имеющуюся к окончанию года или вскоре после него, для двенадцатимесячного периода. Измерение статей за двенадцать месяцев будет отражать возможные изменения в расчетных оценках сумм, отраженных в отчетности за первое полугодие. Суммы, отраженные в промежуточном финансовом отчете за первое полугодие, не подлежат ретроспективной корректировке. При этом согласно пунктам 16(d) и 26 требуется раскрытие информации о характере и сумме любых существенных изменений в расчетных оценках.</w:t>
            </w:r>
          </w:p>
          <w:p w:rsidR="00D4347A" w:rsidRDefault="00D4347A" w:rsidP="00D4347A">
            <w:pPr>
              <w:pStyle w:val="a3"/>
              <w:jc w:val="both"/>
              <w:rPr>
                <w:color w:val="626262"/>
                <w:sz w:val="20"/>
                <w:szCs w:val="20"/>
              </w:rPr>
            </w:pPr>
            <w:r>
              <w:rPr>
                <w:color w:val="626262"/>
                <w:sz w:val="20"/>
                <w:szCs w:val="20"/>
              </w:rPr>
              <w:t>36            Предприятие, представляющее отчетность чаще, чем раз в полгода, измеряет доходы и расходы с начала года до отчетной даты по каждому промежуточному периоду с использованием информации, имеющейся на момент подготовки каждого комплекта финансовой отчетности. Суммы доходов и расходов, включаемые в отчетность за текущий промежуточный период, отражают любые изменения в расчетных оценках сумм, включенных в отчетность за предыдущие промежуточные периоды финансового года. Суммы, отраженные в предыдущих промежуточных периодах, не подлежат ретроспективной корректировке. При этом согласно пунктам 16(d) и 26 требуется раскрытие информации о характере и сумме любых существенных изменений в расчетных оценках.</w:t>
            </w:r>
          </w:p>
          <w:p w:rsidR="00D4347A" w:rsidRDefault="00D4347A" w:rsidP="00D4347A">
            <w:pPr>
              <w:pStyle w:val="a3"/>
              <w:jc w:val="both"/>
              <w:rPr>
                <w:color w:val="626262"/>
                <w:sz w:val="20"/>
                <w:szCs w:val="20"/>
              </w:rPr>
            </w:pPr>
            <w:r>
              <w:rPr>
                <w:color w:val="626262"/>
                <w:sz w:val="20"/>
                <w:szCs w:val="20"/>
              </w:rPr>
              <w:t> </w:t>
            </w:r>
          </w:p>
          <w:p w:rsidR="00D4347A" w:rsidRDefault="00D4347A" w:rsidP="00D4347A">
            <w:pPr>
              <w:pStyle w:val="a3"/>
              <w:jc w:val="both"/>
              <w:rPr>
                <w:color w:val="626262"/>
                <w:sz w:val="20"/>
                <w:szCs w:val="20"/>
              </w:rPr>
            </w:pPr>
            <w:r>
              <w:rPr>
                <w:rStyle w:val="a4"/>
                <w:color w:val="626262"/>
                <w:sz w:val="20"/>
                <w:szCs w:val="20"/>
              </w:rPr>
              <w:t>Доходы, получаемые сезонно, циклически или эпизодически</w:t>
            </w:r>
          </w:p>
          <w:p w:rsidR="00D4347A" w:rsidRDefault="00D4347A" w:rsidP="00D4347A">
            <w:pPr>
              <w:pStyle w:val="a3"/>
              <w:jc w:val="both"/>
              <w:rPr>
                <w:color w:val="626262"/>
                <w:sz w:val="20"/>
                <w:szCs w:val="20"/>
              </w:rPr>
            </w:pPr>
            <w:r>
              <w:rPr>
                <w:color w:val="626262"/>
                <w:sz w:val="20"/>
                <w:szCs w:val="20"/>
              </w:rPr>
              <w:t>37           Доходы, получаемые сезонно, циклически или эпизодически в течение финансового года, не признаются досрочно и не откладываются на будущее с промежуточной даты, если такое досрочное признание или откладывание не было бы надлежащим на конец финансового года предприятия.</w:t>
            </w:r>
          </w:p>
          <w:p w:rsidR="00D4347A" w:rsidRDefault="00D4347A" w:rsidP="00D4347A">
            <w:pPr>
              <w:pStyle w:val="a3"/>
              <w:jc w:val="both"/>
              <w:rPr>
                <w:color w:val="626262"/>
                <w:sz w:val="20"/>
                <w:szCs w:val="20"/>
              </w:rPr>
            </w:pPr>
            <w:r>
              <w:rPr>
                <w:color w:val="626262"/>
                <w:sz w:val="20"/>
                <w:szCs w:val="20"/>
              </w:rPr>
              <w:t>38            Примеры включают доходы по дивидендам, роялти и государственные субсидии. Кроме того, некоторые предприятия постоянно получают более высокие доходы в определенные промежуточные периоды финансового года по сравнению с другими промежуточными периодами, например, сезонные доходы розничной торговли. Такие доходы признаются тогда, когда они возникают.</w:t>
            </w:r>
          </w:p>
          <w:p w:rsidR="00D4347A" w:rsidRDefault="00D4347A" w:rsidP="00D4347A">
            <w:pPr>
              <w:pStyle w:val="a3"/>
              <w:jc w:val="both"/>
              <w:rPr>
                <w:color w:val="626262"/>
                <w:sz w:val="20"/>
                <w:szCs w:val="20"/>
              </w:rPr>
            </w:pPr>
            <w:r>
              <w:rPr>
                <w:color w:val="626262"/>
                <w:sz w:val="20"/>
                <w:szCs w:val="20"/>
              </w:rPr>
              <w:t> </w:t>
            </w:r>
          </w:p>
          <w:p w:rsidR="00D4347A" w:rsidRDefault="00D4347A" w:rsidP="00D4347A">
            <w:pPr>
              <w:pStyle w:val="a3"/>
              <w:jc w:val="both"/>
              <w:rPr>
                <w:color w:val="626262"/>
                <w:sz w:val="20"/>
                <w:szCs w:val="20"/>
              </w:rPr>
            </w:pPr>
            <w:r>
              <w:rPr>
                <w:rStyle w:val="a4"/>
                <w:color w:val="626262"/>
                <w:sz w:val="20"/>
                <w:szCs w:val="20"/>
              </w:rPr>
              <w:t>Затраты, понесенные неравномерно в течение финансового года</w:t>
            </w:r>
          </w:p>
          <w:p w:rsidR="00D4347A" w:rsidRDefault="00D4347A" w:rsidP="00D4347A">
            <w:pPr>
              <w:pStyle w:val="a3"/>
              <w:jc w:val="both"/>
              <w:rPr>
                <w:color w:val="626262"/>
                <w:sz w:val="20"/>
                <w:szCs w:val="20"/>
              </w:rPr>
            </w:pPr>
            <w:r>
              <w:rPr>
                <w:color w:val="626262"/>
                <w:sz w:val="20"/>
                <w:szCs w:val="20"/>
              </w:rPr>
              <w:t>39           Затраты, понесенные неравномерно в течение финансового года предприятия, признаются досрочно или откладываются в целях промежуточной отчетности, тогда и только тогда, когда досрочное признание и откладывание такого типа затрат также является надлежащим на конец финансового года.</w:t>
            </w:r>
          </w:p>
          <w:p w:rsidR="00D4347A" w:rsidRDefault="00D4347A" w:rsidP="00D4347A">
            <w:pPr>
              <w:pStyle w:val="a3"/>
              <w:jc w:val="both"/>
              <w:rPr>
                <w:color w:val="626262"/>
                <w:sz w:val="20"/>
                <w:szCs w:val="20"/>
              </w:rPr>
            </w:pPr>
            <w:r>
              <w:rPr>
                <w:color w:val="626262"/>
                <w:sz w:val="20"/>
                <w:szCs w:val="20"/>
              </w:rPr>
              <w:t> </w:t>
            </w:r>
          </w:p>
          <w:p w:rsidR="00D4347A" w:rsidRDefault="00D4347A" w:rsidP="00D4347A">
            <w:pPr>
              <w:pStyle w:val="a3"/>
              <w:jc w:val="both"/>
              <w:rPr>
                <w:color w:val="626262"/>
                <w:sz w:val="20"/>
                <w:szCs w:val="20"/>
              </w:rPr>
            </w:pPr>
            <w:r>
              <w:rPr>
                <w:rStyle w:val="a4"/>
                <w:color w:val="626262"/>
                <w:sz w:val="20"/>
                <w:szCs w:val="20"/>
              </w:rPr>
              <w:t>Применение принципов признания и измерения</w:t>
            </w:r>
          </w:p>
          <w:p w:rsidR="00D4347A" w:rsidRDefault="00D4347A" w:rsidP="00D4347A">
            <w:pPr>
              <w:pStyle w:val="a3"/>
              <w:jc w:val="both"/>
              <w:rPr>
                <w:color w:val="626262"/>
                <w:sz w:val="20"/>
                <w:szCs w:val="20"/>
              </w:rPr>
            </w:pPr>
            <w:r>
              <w:rPr>
                <w:color w:val="626262"/>
                <w:sz w:val="20"/>
                <w:szCs w:val="20"/>
              </w:rPr>
              <w:t>40            В Приложении B представлены примеры применения общих принципов признания и измерения, изложенных в пунктах 28-39.</w:t>
            </w:r>
          </w:p>
          <w:p w:rsidR="00D4347A" w:rsidRDefault="00D4347A" w:rsidP="00D4347A">
            <w:pPr>
              <w:pStyle w:val="a3"/>
              <w:jc w:val="both"/>
              <w:rPr>
                <w:color w:val="626262"/>
                <w:sz w:val="20"/>
                <w:szCs w:val="20"/>
              </w:rPr>
            </w:pPr>
            <w:r>
              <w:rPr>
                <w:color w:val="626262"/>
                <w:sz w:val="20"/>
                <w:szCs w:val="20"/>
              </w:rPr>
              <w:t> </w:t>
            </w:r>
          </w:p>
          <w:p w:rsidR="00D4347A" w:rsidRDefault="00D4347A" w:rsidP="00D4347A">
            <w:pPr>
              <w:pStyle w:val="a3"/>
              <w:jc w:val="both"/>
              <w:rPr>
                <w:color w:val="626262"/>
                <w:sz w:val="20"/>
                <w:szCs w:val="20"/>
              </w:rPr>
            </w:pPr>
            <w:r>
              <w:rPr>
                <w:rStyle w:val="a4"/>
                <w:color w:val="626262"/>
                <w:sz w:val="20"/>
                <w:szCs w:val="20"/>
              </w:rPr>
              <w:t>Использование расчетных оценок</w:t>
            </w:r>
          </w:p>
          <w:p w:rsidR="00D4347A" w:rsidRDefault="00D4347A" w:rsidP="00D4347A">
            <w:pPr>
              <w:pStyle w:val="a3"/>
              <w:jc w:val="both"/>
              <w:rPr>
                <w:color w:val="626262"/>
                <w:sz w:val="20"/>
                <w:szCs w:val="20"/>
              </w:rPr>
            </w:pPr>
            <w:r>
              <w:rPr>
                <w:color w:val="626262"/>
                <w:sz w:val="20"/>
                <w:szCs w:val="20"/>
              </w:rPr>
              <w:t xml:space="preserve">41           Порядок измерения, применяемый в промежуточном финансовом отчете, должен обеспечивать надежность представляемой информации, а также надлежащее раскрытие всего объема существенной финансовой информации, уместной для понимания финансового положения и результатов деятельности предприятия. Измерение статей как в годовой, так и в промежуточной финансовой отчетности часто основывается на обоснованных расчетных оценках, однако подготовка промежуточной финансовой отчетности обычно требует большей степени использования методов расчетной оценки, нежели годовая </w:t>
            </w:r>
            <w:r>
              <w:rPr>
                <w:color w:val="626262"/>
                <w:sz w:val="20"/>
                <w:szCs w:val="20"/>
              </w:rPr>
              <w:lastRenderedPageBreak/>
              <w:t>финансовая отчетность.</w:t>
            </w:r>
          </w:p>
          <w:p w:rsidR="00D4347A" w:rsidRDefault="00D4347A" w:rsidP="00D4347A">
            <w:pPr>
              <w:pStyle w:val="a3"/>
              <w:jc w:val="both"/>
              <w:rPr>
                <w:color w:val="626262"/>
                <w:sz w:val="20"/>
                <w:szCs w:val="20"/>
              </w:rPr>
            </w:pPr>
            <w:r>
              <w:rPr>
                <w:color w:val="626262"/>
                <w:sz w:val="20"/>
                <w:szCs w:val="20"/>
              </w:rPr>
              <w:t>42            В приложении C представлены примеры использования расчетных оценок в промежуточных периодах.</w:t>
            </w:r>
          </w:p>
          <w:p w:rsidR="00D4347A" w:rsidRDefault="00D4347A" w:rsidP="00D4347A">
            <w:pPr>
              <w:pStyle w:val="a3"/>
              <w:jc w:val="both"/>
              <w:rPr>
                <w:color w:val="626262"/>
                <w:sz w:val="20"/>
                <w:szCs w:val="20"/>
              </w:rPr>
            </w:pPr>
            <w:r>
              <w:rPr>
                <w:color w:val="626262"/>
                <w:sz w:val="20"/>
                <w:szCs w:val="20"/>
              </w:rPr>
              <w:t> </w:t>
            </w:r>
          </w:p>
          <w:p w:rsidR="00D4347A" w:rsidRDefault="00D4347A" w:rsidP="00D4347A">
            <w:pPr>
              <w:pStyle w:val="a3"/>
              <w:jc w:val="both"/>
              <w:rPr>
                <w:color w:val="626262"/>
                <w:sz w:val="20"/>
                <w:szCs w:val="20"/>
              </w:rPr>
            </w:pPr>
            <w:r>
              <w:rPr>
                <w:rStyle w:val="a4"/>
                <w:color w:val="626262"/>
                <w:sz w:val="20"/>
                <w:szCs w:val="20"/>
              </w:rPr>
              <w:t>Пересчет ранее отраженных в отчетности промежуточных периодов</w:t>
            </w:r>
          </w:p>
          <w:p w:rsidR="00D4347A" w:rsidRDefault="00D4347A" w:rsidP="00D4347A">
            <w:pPr>
              <w:pStyle w:val="a3"/>
              <w:jc w:val="both"/>
              <w:rPr>
                <w:color w:val="626262"/>
                <w:sz w:val="20"/>
                <w:szCs w:val="20"/>
              </w:rPr>
            </w:pPr>
            <w:r>
              <w:rPr>
                <w:color w:val="626262"/>
                <w:sz w:val="20"/>
                <w:szCs w:val="20"/>
              </w:rPr>
              <w:t>43           Изменение в учетной политике, за исключением изменений, для которых условия перехода к новому порядку учета установлены каким-либо новым стандартом или разъяснением, отражается следующим образом:</w:t>
            </w:r>
          </w:p>
          <w:p w:rsidR="00D4347A" w:rsidRDefault="00D4347A" w:rsidP="00D4347A">
            <w:pPr>
              <w:pStyle w:val="a3"/>
              <w:jc w:val="both"/>
              <w:rPr>
                <w:color w:val="626262"/>
                <w:sz w:val="20"/>
                <w:szCs w:val="20"/>
              </w:rPr>
            </w:pPr>
            <w:r>
              <w:rPr>
                <w:color w:val="626262"/>
                <w:sz w:val="20"/>
                <w:szCs w:val="20"/>
              </w:rPr>
              <w:t>(a)           путем пересчета финансовой отчетности за предыдущие промежуточные периоды текущего финансового года и сравнительные промежуточные периоды любых предыдущих финансовых лет, которые будут пересчитываться в годовой финансовой отчетности согласно МСФО (IAS) 8; или</w:t>
            </w:r>
          </w:p>
          <w:p w:rsidR="00D4347A" w:rsidRDefault="00D4347A" w:rsidP="00D4347A">
            <w:pPr>
              <w:pStyle w:val="a3"/>
              <w:jc w:val="both"/>
              <w:rPr>
                <w:color w:val="626262"/>
                <w:sz w:val="20"/>
                <w:szCs w:val="20"/>
              </w:rPr>
            </w:pPr>
            <w:r>
              <w:rPr>
                <w:color w:val="626262"/>
                <w:sz w:val="20"/>
                <w:szCs w:val="20"/>
              </w:rPr>
              <w:t>(b)           в случаях, когда на начало финансового года практически невозможно определить кумулятивный эффект применения новой учетной политики ко всем предыдущим периодам, корректировки финансовой отчетности за предыдущие промежуточные периоды текущего финансового года и сравнительные промежуточные периоды предыдущих финансовых лет для применения новой учетной политики производятся перспективно с наиболее ранней из практически возможных дат.</w:t>
            </w:r>
          </w:p>
          <w:p w:rsidR="00D4347A" w:rsidRDefault="00D4347A" w:rsidP="00D4347A">
            <w:pPr>
              <w:pStyle w:val="a3"/>
              <w:jc w:val="both"/>
              <w:rPr>
                <w:color w:val="626262"/>
                <w:sz w:val="20"/>
                <w:szCs w:val="20"/>
              </w:rPr>
            </w:pPr>
            <w:r>
              <w:rPr>
                <w:color w:val="626262"/>
                <w:sz w:val="20"/>
                <w:szCs w:val="20"/>
              </w:rPr>
              <w:t>44            Одной из целей принципа, изложенного в предыдущем пункте, является обеспечение применения единой учетной политики к определенной категории операций в течение всего финансового года. Согласно МСФО (IAS) 8 изменение учетной политики отражается путем ретроспективного применения с пересчетом финансовых данных за предыдущий период, настолько ранних, насколько это практически возможно. Однако если кумулятивную сумму корректировки, относящейся к предыдущим финансовым годам, на практике невозможно определить, то согласно МСФО (IAS) 8 новая политика применяется перспективно с наиболее ранней из практически возможных дат. Принцип, изложенный в пункте 43, требует, чтобы в течение текущего финансового года любое изменение в учетной политике применялось либо ретроспективно, либо, если это на практике невозможно, перспективно не позднее, чем с начала финансового года.</w:t>
            </w:r>
          </w:p>
          <w:p w:rsidR="00D4347A" w:rsidRDefault="00D4347A" w:rsidP="00D4347A">
            <w:pPr>
              <w:pStyle w:val="a3"/>
              <w:jc w:val="both"/>
              <w:rPr>
                <w:color w:val="626262"/>
                <w:sz w:val="20"/>
                <w:szCs w:val="20"/>
              </w:rPr>
            </w:pPr>
            <w:r>
              <w:rPr>
                <w:color w:val="626262"/>
                <w:sz w:val="20"/>
                <w:szCs w:val="20"/>
              </w:rPr>
              <w:t>45            Отражение изменения в порядке учета на промежуточную дату в течение финансового года приведет к применению двух различных принципов учетной политики к определенной категории операций в течение одного финансового года. В результате могут возникнуть трудности с промежуточным распределением, искажение финансового результата и усложнение анализа и понимания информации промежуточного периода.</w:t>
            </w:r>
          </w:p>
          <w:p w:rsidR="00D4347A" w:rsidRDefault="00D4347A" w:rsidP="00D4347A">
            <w:pPr>
              <w:pStyle w:val="a3"/>
              <w:jc w:val="both"/>
              <w:rPr>
                <w:color w:val="626262"/>
                <w:sz w:val="20"/>
                <w:szCs w:val="20"/>
              </w:rPr>
            </w:pPr>
            <w:r>
              <w:rPr>
                <w:color w:val="626262"/>
                <w:sz w:val="20"/>
                <w:szCs w:val="20"/>
              </w:rPr>
              <w:t> </w:t>
            </w:r>
          </w:p>
          <w:p w:rsidR="00D4347A" w:rsidRDefault="00D4347A" w:rsidP="00D4347A">
            <w:pPr>
              <w:pStyle w:val="a3"/>
              <w:jc w:val="both"/>
              <w:rPr>
                <w:color w:val="626262"/>
                <w:sz w:val="20"/>
                <w:szCs w:val="20"/>
              </w:rPr>
            </w:pPr>
            <w:r>
              <w:rPr>
                <w:rStyle w:val="a4"/>
                <w:color w:val="626262"/>
                <w:sz w:val="20"/>
                <w:szCs w:val="20"/>
              </w:rPr>
              <w:t>Дата вступления в силу</w:t>
            </w:r>
          </w:p>
          <w:p w:rsidR="00D4347A" w:rsidRDefault="00D4347A" w:rsidP="00D4347A">
            <w:pPr>
              <w:pStyle w:val="a3"/>
              <w:jc w:val="both"/>
              <w:rPr>
                <w:color w:val="626262"/>
                <w:sz w:val="20"/>
                <w:szCs w:val="20"/>
              </w:rPr>
            </w:pPr>
            <w:r>
              <w:rPr>
                <w:color w:val="626262"/>
                <w:sz w:val="20"/>
                <w:szCs w:val="20"/>
              </w:rPr>
              <w:t>46           Настоящий стандарт вступает в силу применительно к финансовой отчетности, охватывающей периоды, начинающиеся 1 января 1999 г. или после этой даты. Досрочное применение приветствуется.</w:t>
            </w:r>
          </w:p>
          <w:p w:rsidR="00D4347A" w:rsidRDefault="00D4347A" w:rsidP="00D4347A">
            <w:pPr>
              <w:jc w:val="both"/>
              <w:rPr>
                <w:color w:val="626262"/>
                <w:sz w:val="20"/>
                <w:szCs w:val="20"/>
              </w:rPr>
            </w:pPr>
            <w:r>
              <w:rPr>
                <w:color w:val="626262"/>
                <w:sz w:val="20"/>
                <w:szCs w:val="20"/>
              </w:rPr>
              <w:br w:type="textWrapping" w:clear="all"/>
            </w:r>
          </w:p>
          <w:p w:rsidR="00D4347A" w:rsidRDefault="00D4347A" w:rsidP="00D4347A">
            <w:pPr>
              <w:jc w:val="both"/>
              <w:rPr>
                <w:color w:val="626262"/>
                <w:sz w:val="20"/>
                <w:szCs w:val="20"/>
              </w:rPr>
            </w:pPr>
            <w:r>
              <w:rPr>
                <w:color w:val="626262"/>
                <w:sz w:val="20"/>
                <w:szCs w:val="20"/>
              </w:rPr>
              <w:pict>
                <v:rect id="_x0000_i1025" style="width:154.35pt;height:.75pt" o:hrpct="330" o:hrstd="t" o:hr="t" fillcolor="#aca899" stroked="f"/>
              </w:pict>
            </w:r>
          </w:p>
          <w:bookmarkStart w:id="1" w:name="_ftn1"/>
          <w:p w:rsidR="00D4347A" w:rsidRDefault="00D4347A" w:rsidP="00D4347A">
            <w:pPr>
              <w:pStyle w:val="a3"/>
              <w:jc w:val="both"/>
              <w:rPr>
                <w:color w:val="626262"/>
                <w:sz w:val="20"/>
                <w:szCs w:val="20"/>
              </w:rPr>
            </w:pPr>
            <w:r>
              <w:rPr>
                <w:color w:val="626262"/>
                <w:sz w:val="20"/>
                <w:szCs w:val="20"/>
              </w:rPr>
              <w:fldChar w:fldCharType="begin"/>
            </w:r>
            <w:r>
              <w:rPr>
                <w:color w:val="626262"/>
                <w:sz w:val="20"/>
                <w:szCs w:val="20"/>
              </w:rPr>
              <w:instrText xml:space="preserve"> HYPERLINK "http://www.kz-adviser.kz/official/32-ifrs/201-ias34" \l "_ftnref1" </w:instrText>
            </w:r>
            <w:r>
              <w:rPr>
                <w:color w:val="626262"/>
                <w:sz w:val="20"/>
                <w:szCs w:val="20"/>
              </w:rPr>
              <w:fldChar w:fldCharType="separate"/>
            </w:r>
            <w:r>
              <w:rPr>
                <w:rStyle w:val="a6"/>
                <w:sz w:val="20"/>
                <w:szCs w:val="20"/>
              </w:rPr>
              <w:t>[1]</w:t>
            </w:r>
            <w:r>
              <w:rPr>
                <w:color w:val="626262"/>
                <w:sz w:val="20"/>
                <w:szCs w:val="20"/>
              </w:rPr>
              <w:fldChar w:fldCharType="end"/>
            </w:r>
            <w:bookmarkEnd w:id="1"/>
            <w:r>
              <w:rPr>
                <w:rStyle w:val="apple-converted-space"/>
                <w:color w:val="626262"/>
                <w:sz w:val="20"/>
                <w:szCs w:val="20"/>
              </w:rPr>
              <w:t> </w:t>
            </w:r>
            <w:r>
              <w:rPr>
                <w:color w:val="626262"/>
                <w:sz w:val="20"/>
                <w:szCs w:val="20"/>
              </w:rPr>
              <w:t>Правопреемником Комитета по международным стандартам финансовой отчетности является Правление международных стандартов финансовой отчетности, которое начало действовать в 2001 г.</w:t>
            </w:r>
          </w:p>
        </w:tc>
      </w:tr>
    </w:tbl>
    <w:p w:rsidR="006F6E52" w:rsidRPr="00D4347A" w:rsidRDefault="006F6E52" w:rsidP="00D4347A"/>
    <w:sectPr w:rsidR="006F6E52" w:rsidRPr="00D4347A" w:rsidSect="00167FB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A00002EF" w:usb1="420020E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3E574A"/>
    <w:multiLevelType w:val="multilevel"/>
    <w:tmpl w:val="E654D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B87078C"/>
    <w:multiLevelType w:val="multilevel"/>
    <w:tmpl w:val="8A149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490AB4"/>
    <w:rsid w:val="00040C5C"/>
    <w:rsid w:val="00101A1B"/>
    <w:rsid w:val="00162B21"/>
    <w:rsid w:val="00167FB4"/>
    <w:rsid w:val="00175766"/>
    <w:rsid w:val="001B6F9E"/>
    <w:rsid w:val="002A1B80"/>
    <w:rsid w:val="002E64BF"/>
    <w:rsid w:val="00337CBE"/>
    <w:rsid w:val="00414E79"/>
    <w:rsid w:val="004626DC"/>
    <w:rsid w:val="00490AB4"/>
    <w:rsid w:val="006C2C0F"/>
    <w:rsid w:val="006F6E52"/>
    <w:rsid w:val="00997004"/>
    <w:rsid w:val="00997D6E"/>
    <w:rsid w:val="00AB0337"/>
    <w:rsid w:val="00B944CD"/>
    <w:rsid w:val="00BB1376"/>
    <w:rsid w:val="00C54A8E"/>
    <w:rsid w:val="00D4347A"/>
    <w:rsid w:val="00E75E7B"/>
    <w:rsid w:val="00EF7C7F"/>
    <w:rsid w:val="00F8493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7FB4"/>
  </w:style>
  <w:style w:type="paragraph" w:styleId="4">
    <w:name w:val="heading 4"/>
    <w:basedOn w:val="a"/>
    <w:link w:val="40"/>
    <w:uiPriority w:val="9"/>
    <w:qFormat/>
    <w:rsid w:val="00AB033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style-span">
    <w:name w:val="apple-style-span"/>
    <w:basedOn w:val="a0"/>
    <w:rsid w:val="00490AB4"/>
  </w:style>
  <w:style w:type="paragraph" w:styleId="a3">
    <w:name w:val="Normal (Web)"/>
    <w:basedOn w:val="a"/>
    <w:uiPriority w:val="99"/>
    <w:unhideWhenUsed/>
    <w:rsid w:val="00490AB4"/>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490AB4"/>
    <w:rPr>
      <w:b/>
      <w:bCs/>
    </w:rPr>
  </w:style>
  <w:style w:type="character" w:customStyle="1" w:styleId="40">
    <w:name w:val="Заголовок 4 Знак"/>
    <w:basedOn w:val="a0"/>
    <w:link w:val="4"/>
    <w:uiPriority w:val="9"/>
    <w:rsid w:val="00AB0337"/>
    <w:rPr>
      <w:rFonts w:ascii="Times New Roman" w:eastAsia="Times New Roman" w:hAnsi="Times New Roman" w:cs="Times New Roman"/>
      <w:b/>
      <w:bCs/>
      <w:sz w:val="24"/>
      <w:szCs w:val="24"/>
    </w:rPr>
  </w:style>
  <w:style w:type="character" w:customStyle="1" w:styleId="apple-converted-space">
    <w:name w:val="apple-converted-space"/>
    <w:basedOn w:val="a0"/>
    <w:rsid w:val="00AB0337"/>
  </w:style>
  <w:style w:type="character" w:styleId="a5">
    <w:name w:val="Emphasis"/>
    <w:basedOn w:val="a0"/>
    <w:uiPriority w:val="20"/>
    <w:qFormat/>
    <w:rsid w:val="00AB0337"/>
    <w:rPr>
      <w:i/>
      <w:iCs/>
    </w:rPr>
  </w:style>
  <w:style w:type="character" w:styleId="a6">
    <w:name w:val="Hyperlink"/>
    <w:basedOn w:val="a0"/>
    <w:uiPriority w:val="99"/>
    <w:semiHidden/>
    <w:unhideWhenUsed/>
    <w:rsid w:val="00AB0337"/>
    <w:rPr>
      <w:color w:val="0000FF"/>
      <w:u w:val="single"/>
    </w:rPr>
  </w:style>
  <w:style w:type="paragraph" w:customStyle="1" w:styleId="kurstext">
    <w:name w:val="kurs_text"/>
    <w:basedOn w:val="a"/>
    <w:rsid w:val="00AB0337"/>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FollowedHyperlink"/>
    <w:basedOn w:val="a0"/>
    <w:uiPriority w:val="99"/>
    <w:semiHidden/>
    <w:unhideWhenUsed/>
    <w:rsid w:val="00BB1376"/>
    <w:rPr>
      <w:color w:val="800080"/>
      <w:u w:val="single"/>
    </w:rPr>
  </w:style>
  <w:style w:type="paragraph" w:styleId="a8">
    <w:name w:val="Balloon Text"/>
    <w:basedOn w:val="a"/>
    <w:link w:val="a9"/>
    <w:uiPriority w:val="99"/>
    <w:semiHidden/>
    <w:unhideWhenUsed/>
    <w:rsid w:val="00BB137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BB137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627337">
      <w:bodyDiv w:val="1"/>
      <w:marLeft w:val="0"/>
      <w:marRight w:val="0"/>
      <w:marTop w:val="0"/>
      <w:marBottom w:val="0"/>
      <w:divBdr>
        <w:top w:val="none" w:sz="0" w:space="0" w:color="auto"/>
        <w:left w:val="none" w:sz="0" w:space="0" w:color="auto"/>
        <w:bottom w:val="none" w:sz="0" w:space="0" w:color="auto"/>
        <w:right w:val="none" w:sz="0" w:space="0" w:color="auto"/>
      </w:divBdr>
      <w:divsChild>
        <w:div w:id="2044361921">
          <w:marLeft w:val="0"/>
          <w:marRight w:val="0"/>
          <w:marTop w:val="0"/>
          <w:marBottom w:val="0"/>
          <w:divBdr>
            <w:top w:val="none" w:sz="0" w:space="0" w:color="auto"/>
            <w:left w:val="none" w:sz="0" w:space="0" w:color="auto"/>
            <w:bottom w:val="none" w:sz="0" w:space="0" w:color="auto"/>
            <w:right w:val="none" w:sz="0" w:space="0" w:color="auto"/>
          </w:divBdr>
        </w:div>
        <w:div w:id="563561310">
          <w:marLeft w:val="0"/>
          <w:marRight w:val="0"/>
          <w:marTop w:val="0"/>
          <w:marBottom w:val="0"/>
          <w:divBdr>
            <w:top w:val="none" w:sz="0" w:space="0" w:color="auto"/>
            <w:left w:val="none" w:sz="0" w:space="0" w:color="auto"/>
            <w:bottom w:val="none" w:sz="0" w:space="0" w:color="auto"/>
            <w:right w:val="none" w:sz="0" w:space="0" w:color="auto"/>
          </w:divBdr>
        </w:div>
      </w:divsChild>
    </w:div>
    <w:div w:id="278100522">
      <w:bodyDiv w:val="1"/>
      <w:marLeft w:val="0"/>
      <w:marRight w:val="0"/>
      <w:marTop w:val="0"/>
      <w:marBottom w:val="0"/>
      <w:divBdr>
        <w:top w:val="none" w:sz="0" w:space="0" w:color="auto"/>
        <w:left w:val="none" w:sz="0" w:space="0" w:color="auto"/>
        <w:bottom w:val="none" w:sz="0" w:space="0" w:color="auto"/>
        <w:right w:val="none" w:sz="0" w:space="0" w:color="auto"/>
      </w:divBdr>
      <w:divsChild>
        <w:div w:id="451824330">
          <w:marLeft w:val="0"/>
          <w:marRight w:val="0"/>
          <w:marTop w:val="0"/>
          <w:marBottom w:val="0"/>
          <w:divBdr>
            <w:top w:val="none" w:sz="0" w:space="0" w:color="auto"/>
            <w:left w:val="none" w:sz="0" w:space="0" w:color="auto"/>
            <w:bottom w:val="none" w:sz="0" w:space="0" w:color="auto"/>
            <w:right w:val="none" w:sz="0" w:space="0" w:color="auto"/>
          </w:divBdr>
        </w:div>
        <w:div w:id="1079672785">
          <w:marLeft w:val="0"/>
          <w:marRight w:val="0"/>
          <w:marTop w:val="0"/>
          <w:marBottom w:val="0"/>
          <w:divBdr>
            <w:top w:val="none" w:sz="0" w:space="0" w:color="auto"/>
            <w:left w:val="none" w:sz="0" w:space="0" w:color="auto"/>
            <w:bottom w:val="none" w:sz="0" w:space="0" w:color="auto"/>
            <w:right w:val="none" w:sz="0" w:space="0" w:color="auto"/>
          </w:divBdr>
        </w:div>
      </w:divsChild>
    </w:div>
    <w:div w:id="316226066">
      <w:bodyDiv w:val="1"/>
      <w:marLeft w:val="0"/>
      <w:marRight w:val="0"/>
      <w:marTop w:val="0"/>
      <w:marBottom w:val="0"/>
      <w:divBdr>
        <w:top w:val="none" w:sz="0" w:space="0" w:color="auto"/>
        <w:left w:val="none" w:sz="0" w:space="0" w:color="auto"/>
        <w:bottom w:val="none" w:sz="0" w:space="0" w:color="auto"/>
        <w:right w:val="none" w:sz="0" w:space="0" w:color="auto"/>
      </w:divBdr>
      <w:divsChild>
        <w:div w:id="1296452717">
          <w:marLeft w:val="0"/>
          <w:marRight w:val="0"/>
          <w:marTop w:val="0"/>
          <w:marBottom w:val="0"/>
          <w:divBdr>
            <w:top w:val="none" w:sz="0" w:space="0" w:color="auto"/>
            <w:left w:val="none" w:sz="0" w:space="0" w:color="auto"/>
            <w:bottom w:val="none" w:sz="0" w:space="0" w:color="auto"/>
            <w:right w:val="none" w:sz="0" w:space="0" w:color="auto"/>
          </w:divBdr>
        </w:div>
        <w:div w:id="250509294">
          <w:marLeft w:val="0"/>
          <w:marRight w:val="0"/>
          <w:marTop w:val="0"/>
          <w:marBottom w:val="0"/>
          <w:divBdr>
            <w:top w:val="none" w:sz="0" w:space="0" w:color="auto"/>
            <w:left w:val="none" w:sz="0" w:space="0" w:color="auto"/>
            <w:bottom w:val="none" w:sz="0" w:space="0" w:color="auto"/>
            <w:right w:val="none" w:sz="0" w:space="0" w:color="auto"/>
          </w:divBdr>
        </w:div>
      </w:divsChild>
    </w:div>
    <w:div w:id="429352164">
      <w:bodyDiv w:val="1"/>
      <w:marLeft w:val="0"/>
      <w:marRight w:val="0"/>
      <w:marTop w:val="0"/>
      <w:marBottom w:val="0"/>
      <w:divBdr>
        <w:top w:val="none" w:sz="0" w:space="0" w:color="auto"/>
        <w:left w:val="none" w:sz="0" w:space="0" w:color="auto"/>
        <w:bottom w:val="none" w:sz="0" w:space="0" w:color="auto"/>
        <w:right w:val="none" w:sz="0" w:space="0" w:color="auto"/>
      </w:divBdr>
      <w:divsChild>
        <w:div w:id="1598292487">
          <w:marLeft w:val="0"/>
          <w:marRight w:val="0"/>
          <w:marTop w:val="0"/>
          <w:marBottom w:val="0"/>
          <w:divBdr>
            <w:top w:val="none" w:sz="0" w:space="0" w:color="auto"/>
            <w:left w:val="none" w:sz="0" w:space="0" w:color="auto"/>
            <w:bottom w:val="none" w:sz="0" w:space="0" w:color="auto"/>
            <w:right w:val="none" w:sz="0" w:space="0" w:color="auto"/>
          </w:divBdr>
        </w:div>
        <w:div w:id="1346902705">
          <w:marLeft w:val="0"/>
          <w:marRight w:val="0"/>
          <w:marTop w:val="0"/>
          <w:marBottom w:val="0"/>
          <w:divBdr>
            <w:top w:val="none" w:sz="0" w:space="0" w:color="auto"/>
            <w:left w:val="none" w:sz="0" w:space="0" w:color="auto"/>
            <w:bottom w:val="none" w:sz="0" w:space="0" w:color="auto"/>
            <w:right w:val="none" w:sz="0" w:space="0" w:color="auto"/>
          </w:divBdr>
        </w:div>
      </w:divsChild>
    </w:div>
    <w:div w:id="676231909">
      <w:bodyDiv w:val="1"/>
      <w:marLeft w:val="0"/>
      <w:marRight w:val="0"/>
      <w:marTop w:val="0"/>
      <w:marBottom w:val="0"/>
      <w:divBdr>
        <w:top w:val="none" w:sz="0" w:space="0" w:color="auto"/>
        <w:left w:val="none" w:sz="0" w:space="0" w:color="auto"/>
        <w:bottom w:val="none" w:sz="0" w:space="0" w:color="auto"/>
        <w:right w:val="none" w:sz="0" w:space="0" w:color="auto"/>
      </w:divBdr>
      <w:divsChild>
        <w:div w:id="58289943">
          <w:marLeft w:val="0"/>
          <w:marRight w:val="0"/>
          <w:marTop w:val="0"/>
          <w:marBottom w:val="0"/>
          <w:divBdr>
            <w:top w:val="none" w:sz="0" w:space="0" w:color="auto"/>
            <w:left w:val="none" w:sz="0" w:space="0" w:color="auto"/>
            <w:bottom w:val="none" w:sz="0" w:space="0" w:color="auto"/>
            <w:right w:val="none" w:sz="0" w:space="0" w:color="auto"/>
          </w:divBdr>
        </w:div>
        <w:div w:id="1558666341">
          <w:marLeft w:val="0"/>
          <w:marRight w:val="0"/>
          <w:marTop w:val="0"/>
          <w:marBottom w:val="0"/>
          <w:divBdr>
            <w:top w:val="none" w:sz="0" w:space="0" w:color="auto"/>
            <w:left w:val="none" w:sz="0" w:space="0" w:color="auto"/>
            <w:bottom w:val="none" w:sz="0" w:space="0" w:color="auto"/>
            <w:right w:val="none" w:sz="0" w:space="0" w:color="auto"/>
          </w:divBdr>
        </w:div>
      </w:divsChild>
    </w:div>
    <w:div w:id="707336779">
      <w:bodyDiv w:val="1"/>
      <w:marLeft w:val="0"/>
      <w:marRight w:val="0"/>
      <w:marTop w:val="0"/>
      <w:marBottom w:val="0"/>
      <w:divBdr>
        <w:top w:val="none" w:sz="0" w:space="0" w:color="auto"/>
        <w:left w:val="none" w:sz="0" w:space="0" w:color="auto"/>
        <w:bottom w:val="none" w:sz="0" w:space="0" w:color="auto"/>
        <w:right w:val="none" w:sz="0" w:space="0" w:color="auto"/>
      </w:divBdr>
      <w:divsChild>
        <w:div w:id="889727381">
          <w:marLeft w:val="0"/>
          <w:marRight w:val="0"/>
          <w:marTop w:val="0"/>
          <w:marBottom w:val="0"/>
          <w:divBdr>
            <w:top w:val="none" w:sz="0" w:space="0" w:color="auto"/>
            <w:left w:val="none" w:sz="0" w:space="0" w:color="auto"/>
            <w:bottom w:val="none" w:sz="0" w:space="0" w:color="auto"/>
            <w:right w:val="none" w:sz="0" w:space="0" w:color="auto"/>
          </w:divBdr>
        </w:div>
        <w:div w:id="936013716">
          <w:marLeft w:val="0"/>
          <w:marRight w:val="0"/>
          <w:marTop w:val="0"/>
          <w:marBottom w:val="0"/>
          <w:divBdr>
            <w:top w:val="none" w:sz="0" w:space="0" w:color="auto"/>
            <w:left w:val="none" w:sz="0" w:space="0" w:color="auto"/>
            <w:bottom w:val="none" w:sz="0" w:space="0" w:color="auto"/>
            <w:right w:val="none" w:sz="0" w:space="0" w:color="auto"/>
          </w:divBdr>
        </w:div>
      </w:divsChild>
    </w:div>
    <w:div w:id="717126435">
      <w:bodyDiv w:val="1"/>
      <w:marLeft w:val="0"/>
      <w:marRight w:val="0"/>
      <w:marTop w:val="0"/>
      <w:marBottom w:val="0"/>
      <w:divBdr>
        <w:top w:val="none" w:sz="0" w:space="0" w:color="auto"/>
        <w:left w:val="none" w:sz="0" w:space="0" w:color="auto"/>
        <w:bottom w:val="none" w:sz="0" w:space="0" w:color="auto"/>
        <w:right w:val="none" w:sz="0" w:space="0" w:color="auto"/>
      </w:divBdr>
      <w:divsChild>
        <w:div w:id="151993699">
          <w:marLeft w:val="0"/>
          <w:marRight w:val="0"/>
          <w:marTop w:val="0"/>
          <w:marBottom w:val="0"/>
          <w:divBdr>
            <w:top w:val="none" w:sz="0" w:space="0" w:color="auto"/>
            <w:left w:val="none" w:sz="0" w:space="0" w:color="auto"/>
            <w:bottom w:val="none" w:sz="0" w:space="0" w:color="auto"/>
            <w:right w:val="none" w:sz="0" w:space="0" w:color="auto"/>
          </w:divBdr>
        </w:div>
        <w:div w:id="152259961">
          <w:marLeft w:val="0"/>
          <w:marRight w:val="0"/>
          <w:marTop w:val="0"/>
          <w:marBottom w:val="0"/>
          <w:divBdr>
            <w:top w:val="none" w:sz="0" w:space="0" w:color="auto"/>
            <w:left w:val="none" w:sz="0" w:space="0" w:color="auto"/>
            <w:bottom w:val="none" w:sz="0" w:space="0" w:color="auto"/>
            <w:right w:val="none" w:sz="0" w:space="0" w:color="auto"/>
          </w:divBdr>
        </w:div>
      </w:divsChild>
    </w:div>
    <w:div w:id="786119192">
      <w:bodyDiv w:val="1"/>
      <w:marLeft w:val="0"/>
      <w:marRight w:val="0"/>
      <w:marTop w:val="0"/>
      <w:marBottom w:val="0"/>
      <w:divBdr>
        <w:top w:val="none" w:sz="0" w:space="0" w:color="auto"/>
        <w:left w:val="none" w:sz="0" w:space="0" w:color="auto"/>
        <w:bottom w:val="none" w:sz="0" w:space="0" w:color="auto"/>
        <w:right w:val="none" w:sz="0" w:space="0" w:color="auto"/>
      </w:divBdr>
      <w:divsChild>
        <w:div w:id="1677808647">
          <w:marLeft w:val="0"/>
          <w:marRight w:val="0"/>
          <w:marTop w:val="0"/>
          <w:marBottom w:val="0"/>
          <w:divBdr>
            <w:top w:val="none" w:sz="0" w:space="0" w:color="auto"/>
            <w:left w:val="none" w:sz="0" w:space="0" w:color="auto"/>
            <w:bottom w:val="none" w:sz="0" w:space="0" w:color="auto"/>
            <w:right w:val="none" w:sz="0" w:space="0" w:color="auto"/>
          </w:divBdr>
        </w:div>
      </w:divsChild>
    </w:div>
    <w:div w:id="857886983">
      <w:bodyDiv w:val="1"/>
      <w:marLeft w:val="0"/>
      <w:marRight w:val="0"/>
      <w:marTop w:val="0"/>
      <w:marBottom w:val="0"/>
      <w:divBdr>
        <w:top w:val="none" w:sz="0" w:space="0" w:color="auto"/>
        <w:left w:val="none" w:sz="0" w:space="0" w:color="auto"/>
        <w:bottom w:val="none" w:sz="0" w:space="0" w:color="auto"/>
        <w:right w:val="none" w:sz="0" w:space="0" w:color="auto"/>
      </w:divBdr>
      <w:divsChild>
        <w:div w:id="769590355">
          <w:marLeft w:val="0"/>
          <w:marRight w:val="0"/>
          <w:marTop w:val="0"/>
          <w:marBottom w:val="0"/>
          <w:divBdr>
            <w:top w:val="none" w:sz="0" w:space="0" w:color="auto"/>
            <w:left w:val="none" w:sz="0" w:space="0" w:color="auto"/>
            <w:bottom w:val="none" w:sz="0" w:space="0" w:color="auto"/>
            <w:right w:val="none" w:sz="0" w:space="0" w:color="auto"/>
          </w:divBdr>
        </w:div>
        <w:div w:id="1655178178">
          <w:marLeft w:val="0"/>
          <w:marRight w:val="0"/>
          <w:marTop w:val="0"/>
          <w:marBottom w:val="0"/>
          <w:divBdr>
            <w:top w:val="none" w:sz="0" w:space="0" w:color="auto"/>
            <w:left w:val="none" w:sz="0" w:space="0" w:color="auto"/>
            <w:bottom w:val="none" w:sz="0" w:space="0" w:color="auto"/>
            <w:right w:val="none" w:sz="0" w:space="0" w:color="auto"/>
          </w:divBdr>
        </w:div>
      </w:divsChild>
    </w:div>
    <w:div w:id="893465780">
      <w:bodyDiv w:val="1"/>
      <w:marLeft w:val="0"/>
      <w:marRight w:val="0"/>
      <w:marTop w:val="0"/>
      <w:marBottom w:val="0"/>
      <w:divBdr>
        <w:top w:val="none" w:sz="0" w:space="0" w:color="auto"/>
        <w:left w:val="none" w:sz="0" w:space="0" w:color="auto"/>
        <w:bottom w:val="none" w:sz="0" w:space="0" w:color="auto"/>
        <w:right w:val="none" w:sz="0" w:space="0" w:color="auto"/>
      </w:divBdr>
      <w:divsChild>
        <w:div w:id="1634024278">
          <w:marLeft w:val="0"/>
          <w:marRight w:val="0"/>
          <w:marTop w:val="0"/>
          <w:marBottom w:val="0"/>
          <w:divBdr>
            <w:top w:val="none" w:sz="0" w:space="0" w:color="auto"/>
            <w:left w:val="none" w:sz="0" w:space="0" w:color="auto"/>
            <w:bottom w:val="none" w:sz="0" w:space="0" w:color="auto"/>
            <w:right w:val="none" w:sz="0" w:space="0" w:color="auto"/>
          </w:divBdr>
        </w:div>
        <w:div w:id="1652980522">
          <w:marLeft w:val="0"/>
          <w:marRight w:val="0"/>
          <w:marTop w:val="0"/>
          <w:marBottom w:val="0"/>
          <w:divBdr>
            <w:top w:val="none" w:sz="0" w:space="0" w:color="auto"/>
            <w:left w:val="none" w:sz="0" w:space="0" w:color="auto"/>
            <w:bottom w:val="none" w:sz="0" w:space="0" w:color="auto"/>
            <w:right w:val="none" w:sz="0" w:space="0" w:color="auto"/>
          </w:divBdr>
        </w:div>
      </w:divsChild>
    </w:div>
    <w:div w:id="1719939795">
      <w:bodyDiv w:val="1"/>
      <w:marLeft w:val="0"/>
      <w:marRight w:val="0"/>
      <w:marTop w:val="0"/>
      <w:marBottom w:val="0"/>
      <w:divBdr>
        <w:top w:val="none" w:sz="0" w:space="0" w:color="auto"/>
        <w:left w:val="none" w:sz="0" w:space="0" w:color="auto"/>
        <w:bottom w:val="none" w:sz="0" w:space="0" w:color="auto"/>
        <w:right w:val="none" w:sz="0" w:space="0" w:color="auto"/>
      </w:divBdr>
      <w:divsChild>
        <w:div w:id="1314682747">
          <w:marLeft w:val="0"/>
          <w:marRight w:val="0"/>
          <w:marTop w:val="0"/>
          <w:marBottom w:val="0"/>
          <w:divBdr>
            <w:top w:val="none" w:sz="0" w:space="0" w:color="auto"/>
            <w:left w:val="none" w:sz="0" w:space="0" w:color="auto"/>
            <w:bottom w:val="none" w:sz="0" w:space="0" w:color="auto"/>
            <w:right w:val="none" w:sz="0" w:space="0" w:color="auto"/>
          </w:divBdr>
        </w:div>
        <w:div w:id="1209755264">
          <w:marLeft w:val="0"/>
          <w:marRight w:val="0"/>
          <w:marTop w:val="0"/>
          <w:marBottom w:val="0"/>
          <w:divBdr>
            <w:top w:val="none" w:sz="0" w:space="0" w:color="auto"/>
            <w:left w:val="none" w:sz="0" w:space="0" w:color="auto"/>
            <w:bottom w:val="none" w:sz="0" w:space="0" w:color="auto"/>
            <w:right w:val="none" w:sz="0" w:space="0" w:color="auto"/>
          </w:divBdr>
        </w:div>
      </w:divsChild>
    </w:div>
    <w:div w:id="1901818839">
      <w:bodyDiv w:val="1"/>
      <w:marLeft w:val="0"/>
      <w:marRight w:val="0"/>
      <w:marTop w:val="0"/>
      <w:marBottom w:val="0"/>
      <w:divBdr>
        <w:top w:val="none" w:sz="0" w:space="0" w:color="auto"/>
        <w:left w:val="none" w:sz="0" w:space="0" w:color="auto"/>
        <w:bottom w:val="none" w:sz="0" w:space="0" w:color="auto"/>
        <w:right w:val="none" w:sz="0" w:space="0" w:color="auto"/>
      </w:divBdr>
      <w:divsChild>
        <w:div w:id="1853108616">
          <w:marLeft w:val="0"/>
          <w:marRight w:val="0"/>
          <w:marTop w:val="0"/>
          <w:marBottom w:val="0"/>
          <w:divBdr>
            <w:top w:val="none" w:sz="0" w:space="0" w:color="auto"/>
            <w:left w:val="none" w:sz="0" w:space="0" w:color="auto"/>
            <w:bottom w:val="none" w:sz="0" w:space="0" w:color="auto"/>
            <w:right w:val="none" w:sz="0" w:space="0" w:color="auto"/>
          </w:divBdr>
        </w:div>
        <w:div w:id="8519896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9</Pages>
  <Words>4651</Words>
  <Characters>26512</Characters>
  <Application>Microsoft Office Word</Application>
  <DocSecurity>0</DocSecurity>
  <Lines>220</Lines>
  <Paragraphs>62</Paragraphs>
  <ScaleCrop>false</ScaleCrop>
  <Company>Reanimator Extreme Edition</Company>
  <LinksUpToDate>false</LinksUpToDate>
  <CharactersWithSpaces>31101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OfficePC</dc:creator>
  <cp:keywords/>
  <dc:description/>
  <cp:lastModifiedBy>OfficePC</cp:lastModifiedBy>
  <cp:revision>14</cp:revision>
  <dcterms:created xsi:type="dcterms:W3CDTF">2011-10-20T06:09:00Z</dcterms:created>
  <dcterms:modified xsi:type="dcterms:W3CDTF">2011-10-20T09:53:00Z</dcterms:modified>
</cp:coreProperties>
</file>